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C6F22" w14:textId="77777777" w:rsidR="00131237" w:rsidRDefault="00550A69" w:rsidP="00550A69">
      <w:pPr>
        <w:spacing w:after="0" w:line="240" w:lineRule="auto"/>
        <w:jc w:val="center"/>
        <w:rPr>
          <w:rFonts w:ascii="Arial" w:hAnsi="Arial" w:cs="Arial"/>
          <w:sz w:val="28"/>
          <w:szCs w:val="28"/>
        </w:rPr>
      </w:pPr>
      <w:r>
        <w:rPr>
          <w:rFonts w:ascii="Arial" w:hAnsi="Arial" w:cs="Arial"/>
          <w:sz w:val="28"/>
          <w:szCs w:val="28"/>
        </w:rPr>
        <w:t>Camden Local Environmental Plan 2010</w:t>
      </w:r>
    </w:p>
    <w:p w14:paraId="29402E0A" w14:textId="77777777" w:rsidR="00550A69" w:rsidRDefault="00550A69" w:rsidP="00550A69">
      <w:pPr>
        <w:spacing w:after="0" w:line="240" w:lineRule="auto"/>
        <w:rPr>
          <w:rFonts w:ascii="Arial" w:hAnsi="Arial" w:cs="Arial"/>
          <w:sz w:val="28"/>
          <w:szCs w:val="28"/>
        </w:rPr>
      </w:pPr>
    </w:p>
    <w:tbl>
      <w:tblPr>
        <w:tblStyle w:val="TableGrid"/>
        <w:tblW w:w="14142" w:type="dxa"/>
        <w:tblInd w:w="-113" w:type="dxa"/>
        <w:tblLayout w:type="fixed"/>
        <w:tblLook w:val="04A0" w:firstRow="1" w:lastRow="0" w:firstColumn="1" w:lastColumn="0" w:noHBand="0" w:noVBand="1"/>
      </w:tblPr>
      <w:tblGrid>
        <w:gridCol w:w="1809"/>
        <w:gridCol w:w="5387"/>
        <w:gridCol w:w="5245"/>
        <w:gridCol w:w="1701"/>
      </w:tblGrid>
      <w:tr w:rsidR="00550A69" w:rsidRPr="00E101D4" w14:paraId="4A0F6B87" w14:textId="77777777" w:rsidTr="005D2FB7">
        <w:trPr>
          <w:trHeight w:hRule="exact" w:val="288"/>
        </w:trPr>
        <w:tc>
          <w:tcPr>
            <w:tcW w:w="1809" w:type="dxa"/>
            <w:shd w:val="clear" w:color="auto" w:fill="BFBFBF" w:themeFill="background1" w:themeFillShade="BF"/>
          </w:tcPr>
          <w:p w14:paraId="1E330270" w14:textId="77777777" w:rsidR="00550A69" w:rsidRPr="00550A69" w:rsidDel="008B73C4" w:rsidRDefault="00550A69" w:rsidP="005D2FB7">
            <w:pPr>
              <w:kinsoku w:val="0"/>
              <w:overflowPunct w:val="0"/>
              <w:autoSpaceDE w:val="0"/>
              <w:autoSpaceDN w:val="0"/>
              <w:adjustRightInd w:val="0"/>
              <w:spacing w:line="248" w:lineRule="exact"/>
              <w:ind w:left="108"/>
              <w:jc w:val="center"/>
              <w:rPr>
                <w:rFonts w:ascii="Arial" w:hAnsi="Arial" w:cs="Arial"/>
                <w:b/>
                <w:bCs/>
                <w:spacing w:val="-1"/>
                <w:sz w:val="22"/>
                <w:szCs w:val="22"/>
              </w:rPr>
            </w:pPr>
            <w:r w:rsidRPr="00550A69">
              <w:rPr>
                <w:rFonts w:ascii="Arial" w:hAnsi="Arial" w:cs="Arial"/>
                <w:b/>
                <w:bCs/>
                <w:spacing w:val="-1"/>
                <w:sz w:val="22"/>
                <w:szCs w:val="22"/>
              </w:rPr>
              <w:t>Clause</w:t>
            </w:r>
          </w:p>
        </w:tc>
        <w:tc>
          <w:tcPr>
            <w:tcW w:w="5387" w:type="dxa"/>
            <w:shd w:val="clear" w:color="auto" w:fill="BFBFBF" w:themeFill="background1" w:themeFillShade="BF"/>
          </w:tcPr>
          <w:p w14:paraId="25F15423" w14:textId="77777777" w:rsidR="00550A69" w:rsidRPr="00550A69" w:rsidRDefault="00550A69" w:rsidP="005D2FB7">
            <w:pPr>
              <w:kinsoku w:val="0"/>
              <w:overflowPunct w:val="0"/>
              <w:autoSpaceDE w:val="0"/>
              <w:autoSpaceDN w:val="0"/>
              <w:adjustRightInd w:val="0"/>
              <w:spacing w:line="248" w:lineRule="exact"/>
              <w:ind w:left="108"/>
              <w:jc w:val="center"/>
              <w:rPr>
                <w:rFonts w:ascii="Arial" w:hAnsi="Arial" w:cs="Arial"/>
              </w:rPr>
            </w:pPr>
            <w:r w:rsidRPr="00550A69">
              <w:rPr>
                <w:rFonts w:ascii="Arial" w:hAnsi="Arial" w:cs="Arial"/>
                <w:b/>
                <w:bCs/>
                <w:spacing w:val="-1"/>
                <w:sz w:val="22"/>
                <w:szCs w:val="22"/>
              </w:rPr>
              <w:t>Control</w:t>
            </w:r>
          </w:p>
        </w:tc>
        <w:tc>
          <w:tcPr>
            <w:tcW w:w="5245" w:type="dxa"/>
            <w:shd w:val="clear" w:color="auto" w:fill="BFBFBF" w:themeFill="background1" w:themeFillShade="BF"/>
          </w:tcPr>
          <w:p w14:paraId="36358733" w14:textId="77777777" w:rsidR="00550A69" w:rsidRPr="00550A69" w:rsidRDefault="00550A69" w:rsidP="005D2FB7">
            <w:pPr>
              <w:kinsoku w:val="0"/>
              <w:overflowPunct w:val="0"/>
              <w:autoSpaceDE w:val="0"/>
              <w:autoSpaceDN w:val="0"/>
              <w:adjustRightInd w:val="0"/>
              <w:spacing w:line="248" w:lineRule="exact"/>
              <w:ind w:left="108"/>
              <w:jc w:val="center"/>
              <w:rPr>
                <w:rFonts w:ascii="Arial" w:hAnsi="Arial" w:cs="Arial"/>
              </w:rPr>
            </w:pPr>
            <w:r w:rsidRPr="00550A69">
              <w:rPr>
                <w:rFonts w:ascii="Arial" w:hAnsi="Arial" w:cs="Arial"/>
                <w:b/>
                <w:bCs/>
                <w:spacing w:val="-2"/>
                <w:sz w:val="22"/>
                <w:szCs w:val="22"/>
              </w:rPr>
              <w:t>Proposed</w:t>
            </w:r>
          </w:p>
        </w:tc>
        <w:tc>
          <w:tcPr>
            <w:tcW w:w="1701" w:type="dxa"/>
            <w:shd w:val="clear" w:color="auto" w:fill="BFBFBF" w:themeFill="background1" w:themeFillShade="BF"/>
          </w:tcPr>
          <w:p w14:paraId="3E908A1E" w14:textId="77777777" w:rsidR="00550A69" w:rsidRPr="00550A69" w:rsidRDefault="00550A69" w:rsidP="005D2FB7">
            <w:pPr>
              <w:kinsoku w:val="0"/>
              <w:overflowPunct w:val="0"/>
              <w:autoSpaceDE w:val="0"/>
              <w:autoSpaceDN w:val="0"/>
              <w:adjustRightInd w:val="0"/>
              <w:spacing w:line="248" w:lineRule="exact"/>
              <w:ind w:left="107"/>
              <w:jc w:val="center"/>
              <w:rPr>
                <w:rFonts w:ascii="Arial" w:hAnsi="Arial" w:cs="Arial"/>
              </w:rPr>
            </w:pPr>
            <w:r w:rsidRPr="00550A69">
              <w:rPr>
                <w:rFonts w:ascii="Arial" w:hAnsi="Arial" w:cs="Arial"/>
                <w:b/>
                <w:bCs/>
                <w:spacing w:val="-2"/>
                <w:sz w:val="22"/>
                <w:szCs w:val="22"/>
              </w:rPr>
              <w:t>Compliance</w:t>
            </w:r>
          </w:p>
        </w:tc>
      </w:tr>
      <w:tr w:rsidR="00550A69" w:rsidRPr="00E101D4" w14:paraId="41CC356C" w14:textId="77777777" w:rsidTr="002B3A33">
        <w:trPr>
          <w:trHeight w:val="1039"/>
        </w:trPr>
        <w:tc>
          <w:tcPr>
            <w:tcW w:w="1809" w:type="dxa"/>
          </w:tcPr>
          <w:p w14:paraId="4C9CF096" w14:textId="77777777" w:rsidR="00550A69" w:rsidRPr="00D864CB" w:rsidRDefault="00550A69" w:rsidP="005D2FB7">
            <w:pPr>
              <w:jc w:val="both"/>
              <w:rPr>
                <w:rFonts w:ascii="Arial" w:hAnsi="Arial" w:cs="Arial"/>
                <w:b/>
                <w:sz w:val="22"/>
                <w:szCs w:val="22"/>
              </w:rPr>
            </w:pPr>
            <w:r w:rsidRPr="00D864CB">
              <w:rPr>
                <w:rFonts w:ascii="Arial" w:hAnsi="Arial" w:cs="Arial"/>
                <w:b/>
                <w:sz w:val="22"/>
                <w:szCs w:val="22"/>
              </w:rPr>
              <w:t xml:space="preserve">Clause </w:t>
            </w:r>
            <w:r w:rsidR="00F2478E" w:rsidRPr="00D864CB">
              <w:rPr>
                <w:rFonts w:ascii="Arial" w:hAnsi="Arial" w:cs="Arial"/>
                <w:b/>
                <w:sz w:val="22"/>
                <w:szCs w:val="22"/>
              </w:rPr>
              <w:t>2.6</w:t>
            </w:r>
          </w:p>
          <w:p w14:paraId="3BC67C77" w14:textId="77777777" w:rsidR="00550A69" w:rsidRPr="00D864CB" w:rsidRDefault="00F2478E" w:rsidP="005D2FB7">
            <w:pPr>
              <w:jc w:val="both"/>
              <w:rPr>
                <w:rFonts w:ascii="Arial" w:hAnsi="Arial" w:cs="Arial"/>
                <w:b/>
                <w:sz w:val="22"/>
                <w:szCs w:val="22"/>
              </w:rPr>
            </w:pPr>
            <w:r w:rsidRPr="00D864CB">
              <w:rPr>
                <w:rFonts w:ascii="Arial" w:hAnsi="Arial" w:cs="Arial"/>
                <w:b/>
                <w:sz w:val="22"/>
                <w:szCs w:val="22"/>
              </w:rPr>
              <w:t>Subdivision – consent requirements</w:t>
            </w:r>
          </w:p>
        </w:tc>
        <w:tc>
          <w:tcPr>
            <w:tcW w:w="5387" w:type="dxa"/>
          </w:tcPr>
          <w:p w14:paraId="48A1B021" w14:textId="77777777" w:rsidR="00550A69" w:rsidRPr="00E87098" w:rsidRDefault="007531B0" w:rsidP="007531B0">
            <w:pPr>
              <w:pStyle w:val="ListParagraph"/>
              <w:numPr>
                <w:ilvl w:val="0"/>
                <w:numId w:val="5"/>
              </w:numPr>
              <w:ind w:left="454" w:hanging="454"/>
              <w:jc w:val="both"/>
              <w:rPr>
                <w:rFonts w:cs="Arial"/>
                <w:bCs/>
                <w:sz w:val="22"/>
                <w:szCs w:val="22"/>
              </w:rPr>
            </w:pPr>
            <w:r w:rsidRPr="00E87098">
              <w:rPr>
                <w:rFonts w:cs="Arial"/>
                <w:bCs/>
                <w:sz w:val="22"/>
                <w:szCs w:val="22"/>
              </w:rPr>
              <w:t>Land to which this Plan</w:t>
            </w:r>
            <w:r w:rsidR="00E87098" w:rsidRPr="00E87098">
              <w:rPr>
                <w:rFonts w:cs="Arial"/>
                <w:bCs/>
                <w:sz w:val="22"/>
                <w:szCs w:val="22"/>
              </w:rPr>
              <w:t xml:space="preserve"> applies may be subdivided, but only with development consent. </w:t>
            </w:r>
          </w:p>
        </w:tc>
        <w:tc>
          <w:tcPr>
            <w:tcW w:w="5245" w:type="dxa"/>
          </w:tcPr>
          <w:p w14:paraId="7DEEC617" w14:textId="77777777" w:rsidR="00550A69" w:rsidRPr="00550A69" w:rsidRDefault="00E87098" w:rsidP="005D2FB7">
            <w:pPr>
              <w:jc w:val="both"/>
              <w:rPr>
                <w:rFonts w:ascii="Arial" w:hAnsi="Arial" w:cs="Arial"/>
                <w:sz w:val="22"/>
                <w:szCs w:val="22"/>
              </w:rPr>
            </w:pPr>
            <w:r>
              <w:rPr>
                <w:rFonts w:ascii="Arial" w:hAnsi="Arial" w:cs="Arial"/>
                <w:sz w:val="22"/>
                <w:szCs w:val="22"/>
              </w:rPr>
              <w:t>Development consent is sought for the subdivision of land.</w:t>
            </w:r>
          </w:p>
        </w:tc>
        <w:tc>
          <w:tcPr>
            <w:tcW w:w="1701" w:type="dxa"/>
          </w:tcPr>
          <w:p w14:paraId="4C3253F8" w14:textId="77777777" w:rsidR="00550A69" w:rsidRPr="00550A69" w:rsidRDefault="00550A69" w:rsidP="005D2FB7">
            <w:pPr>
              <w:jc w:val="both"/>
              <w:rPr>
                <w:rFonts w:ascii="Arial" w:hAnsi="Arial" w:cs="Arial"/>
                <w:sz w:val="22"/>
                <w:szCs w:val="22"/>
              </w:rPr>
            </w:pPr>
            <w:r w:rsidRPr="00550A69">
              <w:rPr>
                <w:rFonts w:ascii="Arial" w:hAnsi="Arial" w:cs="Arial"/>
                <w:sz w:val="22"/>
                <w:szCs w:val="22"/>
              </w:rPr>
              <w:t>Yes</w:t>
            </w:r>
          </w:p>
        </w:tc>
      </w:tr>
      <w:tr w:rsidR="00BF3134" w14:paraId="39859605" w14:textId="77777777" w:rsidTr="005D2FB7">
        <w:trPr>
          <w:trHeight w:val="2123"/>
        </w:trPr>
        <w:tc>
          <w:tcPr>
            <w:tcW w:w="1809" w:type="dxa"/>
          </w:tcPr>
          <w:p w14:paraId="6D1E70B9" w14:textId="77777777" w:rsidR="00BF3134" w:rsidRPr="00D864CB" w:rsidRDefault="00BF3134" w:rsidP="005D2FB7">
            <w:pPr>
              <w:jc w:val="both"/>
              <w:rPr>
                <w:rFonts w:ascii="Arial" w:hAnsi="Arial" w:cs="Arial"/>
                <w:b/>
                <w:sz w:val="22"/>
                <w:szCs w:val="22"/>
              </w:rPr>
            </w:pPr>
            <w:r w:rsidRPr="00D864CB">
              <w:rPr>
                <w:rFonts w:ascii="Arial" w:hAnsi="Arial" w:cs="Arial"/>
                <w:b/>
                <w:sz w:val="22"/>
                <w:szCs w:val="22"/>
              </w:rPr>
              <w:t xml:space="preserve">Clause 4.1A </w:t>
            </w:r>
          </w:p>
          <w:p w14:paraId="43D74D50" w14:textId="77777777" w:rsidR="006501D7" w:rsidRPr="00D864CB" w:rsidRDefault="006501D7" w:rsidP="005D2FB7">
            <w:pPr>
              <w:jc w:val="both"/>
              <w:rPr>
                <w:rFonts w:ascii="Arial" w:hAnsi="Arial" w:cs="Arial"/>
                <w:b/>
                <w:sz w:val="22"/>
                <w:szCs w:val="22"/>
              </w:rPr>
            </w:pPr>
            <w:r w:rsidRPr="00D864CB">
              <w:rPr>
                <w:rFonts w:ascii="Arial" w:hAnsi="Arial" w:cs="Arial"/>
                <w:b/>
                <w:sz w:val="22"/>
                <w:szCs w:val="22"/>
              </w:rPr>
              <w:t>Exceptions to minimum lot sizes for certain residential development use</w:t>
            </w:r>
          </w:p>
        </w:tc>
        <w:tc>
          <w:tcPr>
            <w:tcW w:w="5387" w:type="dxa"/>
          </w:tcPr>
          <w:p w14:paraId="35BDC351" w14:textId="77777777" w:rsidR="00BF3134" w:rsidRPr="006501D7" w:rsidRDefault="006501D7" w:rsidP="006501D7">
            <w:pPr>
              <w:pStyle w:val="ListParagraph"/>
              <w:numPr>
                <w:ilvl w:val="0"/>
                <w:numId w:val="5"/>
              </w:numPr>
              <w:ind w:left="454" w:hanging="454"/>
              <w:jc w:val="both"/>
              <w:rPr>
                <w:rFonts w:ascii="Times New Roman" w:hAnsi="Times New Roman" w:cs="Arial"/>
                <w:bCs/>
                <w:sz w:val="22"/>
                <w:szCs w:val="22"/>
              </w:rPr>
            </w:pPr>
            <w:r w:rsidRPr="006501D7">
              <w:rPr>
                <w:rFonts w:cs="Arial"/>
                <w:bCs/>
                <w:sz w:val="22"/>
                <w:szCs w:val="22"/>
              </w:rPr>
              <w:t>This clause applies to land in Area 1 at Spring Farm and to land in Area 2 at Elderslie, as shown edged heavy blue on the Lot Size Map.</w:t>
            </w:r>
          </w:p>
          <w:p w14:paraId="4BFAB851" w14:textId="77777777" w:rsidR="006501D7" w:rsidRPr="006501D7" w:rsidRDefault="006501D7" w:rsidP="006501D7">
            <w:pPr>
              <w:pStyle w:val="ListParagraph"/>
              <w:numPr>
                <w:ilvl w:val="0"/>
                <w:numId w:val="5"/>
              </w:numPr>
              <w:ind w:left="454" w:hanging="454"/>
              <w:jc w:val="both"/>
              <w:rPr>
                <w:rFonts w:ascii="Times New Roman" w:hAnsi="Times New Roman" w:cs="Arial"/>
                <w:bCs/>
                <w:sz w:val="22"/>
                <w:szCs w:val="22"/>
              </w:rPr>
            </w:pPr>
            <w:r w:rsidRPr="006501D7">
              <w:rPr>
                <w:rFonts w:cs="Arial"/>
                <w:bCs/>
                <w:sz w:val="22"/>
                <w:szCs w:val="22"/>
              </w:rPr>
              <w:t>Despite Clause 4.1, development consent may be granted to the subdivision of a lot on land to which this clause applies on which development for any of the following purposes is proposed to be carried out if the area of each resulting lot is equal to or greater than the area specified for that purpose:</w:t>
            </w:r>
          </w:p>
          <w:p w14:paraId="6C7DD69C" w14:textId="77777777" w:rsidR="006501D7" w:rsidRPr="006501D7" w:rsidRDefault="006501D7" w:rsidP="006501D7">
            <w:pPr>
              <w:pStyle w:val="ListParagraph"/>
              <w:numPr>
                <w:ilvl w:val="0"/>
                <w:numId w:val="7"/>
              </w:numPr>
              <w:jc w:val="both"/>
              <w:rPr>
                <w:rFonts w:ascii="Times New Roman" w:hAnsi="Times New Roman" w:cs="Arial"/>
                <w:bCs/>
                <w:sz w:val="22"/>
                <w:szCs w:val="22"/>
              </w:rPr>
            </w:pPr>
            <w:r w:rsidRPr="006501D7">
              <w:rPr>
                <w:rFonts w:cs="Arial"/>
                <w:bCs/>
                <w:sz w:val="22"/>
                <w:szCs w:val="22"/>
              </w:rPr>
              <w:t>Attached dwelling – 180 square metres,</w:t>
            </w:r>
          </w:p>
          <w:p w14:paraId="329F210C" w14:textId="77777777" w:rsidR="006501D7" w:rsidRPr="006501D7" w:rsidRDefault="006501D7" w:rsidP="006501D7">
            <w:pPr>
              <w:pStyle w:val="ListParagraph"/>
              <w:numPr>
                <w:ilvl w:val="0"/>
                <w:numId w:val="7"/>
              </w:numPr>
              <w:jc w:val="both"/>
              <w:rPr>
                <w:rFonts w:ascii="Times New Roman" w:hAnsi="Times New Roman" w:cs="Arial"/>
                <w:bCs/>
              </w:rPr>
            </w:pPr>
            <w:r w:rsidRPr="006501D7">
              <w:rPr>
                <w:rFonts w:cs="Arial"/>
                <w:bCs/>
                <w:sz w:val="22"/>
                <w:szCs w:val="22"/>
              </w:rPr>
              <w:t>Semi-attached dwelling on land in Area 1 at Spring Farm or Area 2 at Elderslie – 200 square metres.</w:t>
            </w:r>
          </w:p>
        </w:tc>
        <w:tc>
          <w:tcPr>
            <w:tcW w:w="5245" w:type="dxa"/>
          </w:tcPr>
          <w:p w14:paraId="1DC3A54C" w14:textId="77777777" w:rsidR="00BF3134" w:rsidRDefault="005C291C" w:rsidP="005D2FB7">
            <w:pPr>
              <w:jc w:val="both"/>
              <w:rPr>
                <w:rFonts w:ascii="Arial" w:hAnsi="Arial" w:cs="Arial"/>
                <w:sz w:val="22"/>
                <w:szCs w:val="22"/>
              </w:rPr>
            </w:pPr>
            <w:r w:rsidRPr="00D337E2">
              <w:rPr>
                <w:rFonts w:ascii="Arial" w:hAnsi="Arial" w:cs="Arial"/>
                <w:sz w:val="22"/>
                <w:szCs w:val="22"/>
              </w:rPr>
              <w:t>Stage 1</w:t>
            </w:r>
          </w:p>
          <w:p w14:paraId="75A92993" w14:textId="2EF6904E" w:rsidR="00D337E2" w:rsidRDefault="00D337E2" w:rsidP="005D2FB7">
            <w:pPr>
              <w:jc w:val="both"/>
              <w:rPr>
                <w:rFonts w:ascii="Arial" w:hAnsi="Arial" w:cs="Arial"/>
                <w:sz w:val="22"/>
                <w:szCs w:val="22"/>
              </w:rPr>
            </w:pPr>
          </w:p>
          <w:p w14:paraId="440AC8A4" w14:textId="25F6C11B" w:rsidR="00084EFC" w:rsidRPr="00084EFC" w:rsidRDefault="00084EFC" w:rsidP="005D2FB7">
            <w:pPr>
              <w:jc w:val="both"/>
              <w:rPr>
                <w:rFonts w:ascii="Arial" w:hAnsi="Arial" w:cs="Arial"/>
                <w:sz w:val="22"/>
                <w:szCs w:val="22"/>
              </w:rPr>
            </w:pPr>
            <w:r>
              <w:rPr>
                <w:rFonts w:ascii="Arial" w:hAnsi="Arial" w:cs="Arial"/>
                <w:sz w:val="22"/>
                <w:szCs w:val="22"/>
              </w:rPr>
              <w:t>Proposed Lot 100 – 1260m</w:t>
            </w:r>
            <w:r>
              <w:rPr>
                <w:rFonts w:ascii="Arial" w:hAnsi="Arial" w:cs="Arial"/>
                <w:sz w:val="22"/>
                <w:szCs w:val="22"/>
                <w:vertAlign w:val="superscript"/>
              </w:rPr>
              <w:t>2</w:t>
            </w:r>
          </w:p>
          <w:p w14:paraId="75ACEBDA" w14:textId="77777777" w:rsidR="00D337E2" w:rsidRDefault="00D337E2" w:rsidP="005D2FB7">
            <w:pPr>
              <w:jc w:val="both"/>
              <w:rPr>
                <w:rFonts w:ascii="Arial" w:hAnsi="Arial" w:cs="Arial"/>
                <w:sz w:val="22"/>
                <w:szCs w:val="22"/>
              </w:rPr>
            </w:pPr>
            <w:r>
              <w:rPr>
                <w:rFonts w:ascii="Arial" w:hAnsi="Arial" w:cs="Arial"/>
                <w:sz w:val="22"/>
                <w:szCs w:val="22"/>
              </w:rPr>
              <w:t>Proposed Lot 101 – 3875m</w:t>
            </w:r>
            <w:r>
              <w:rPr>
                <w:rFonts w:ascii="Arial" w:hAnsi="Arial" w:cs="Arial"/>
                <w:sz w:val="22"/>
                <w:szCs w:val="22"/>
                <w:vertAlign w:val="superscript"/>
              </w:rPr>
              <w:t>2</w:t>
            </w:r>
          </w:p>
          <w:p w14:paraId="05E1095A" w14:textId="77777777" w:rsidR="00D337E2" w:rsidRDefault="00D337E2" w:rsidP="005D2FB7">
            <w:pPr>
              <w:jc w:val="both"/>
              <w:rPr>
                <w:rFonts w:ascii="Arial" w:hAnsi="Arial" w:cs="Arial"/>
                <w:sz w:val="22"/>
                <w:szCs w:val="22"/>
              </w:rPr>
            </w:pPr>
            <w:r>
              <w:rPr>
                <w:rFonts w:ascii="Arial" w:hAnsi="Arial" w:cs="Arial"/>
                <w:sz w:val="22"/>
                <w:szCs w:val="22"/>
              </w:rPr>
              <w:t>Proposed Lot 102 – 7039m</w:t>
            </w:r>
            <w:r>
              <w:rPr>
                <w:rFonts w:ascii="Arial" w:hAnsi="Arial" w:cs="Arial"/>
                <w:sz w:val="22"/>
                <w:szCs w:val="22"/>
                <w:vertAlign w:val="superscript"/>
              </w:rPr>
              <w:t>2</w:t>
            </w:r>
          </w:p>
          <w:p w14:paraId="25307E9D" w14:textId="77777777" w:rsidR="00D337E2" w:rsidRDefault="00D337E2" w:rsidP="005D2FB7">
            <w:pPr>
              <w:jc w:val="both"/>
              <w:rPr>
                <w:rFonts w:ascii="Arial" w:hAnsi="Arial" w:cs="Arial"/>
                <w:sz w:val="22"/>
                <w:szCs w:val="22"/>
              </w:rPr>
            </w:pPr>
            <w:r>
              <w:rPr>
                <w:rFonts w:ascii="Arial" w:hAnsi="Arial" w:cs="Arial"/>
                <w:sz w:val="22"/>
                <w:szCs w:val="22"/>
              </w:rPr>
              <w:t>Proposed Lot 103 – 2.815ha (Residue Lot)</w:t>
            </w:r>
          </w:p>
          <w:p w14:paraId="50761A5C" w14:textId="77777777" w:rsidR="00D337E2" w:rsidRDefault="00D337E2" w:rsidP="005D2FB7">
            <w:pPr>
              <w:jc w:val="both"/>
              <w:rPr>
                <w:rFonts w:ascii="Arial" w:hAnsi="Arial" w:cs="Arial"/>
                <w:sz w:val="22"/>
                <w:szCs w:val="22"/>
              </w:rPr>
            </w:pPr>
          </w:p>
          <w:p w14:paraId="5DDE26A5" w14:textId="77777777" w:rsidR="00D337E2" w:rsidRDefault="00D337E2" w:rsidP="005D2FB7">
            <w:pPr>
              <w:jc w:val="both"/>
              <w:rPr>
                <w:rFonts w:ascii="Arial" w:hAnsi="Arial" w:cs="Arial"/>
                <w:sz w:val="22"/>
                <w:szCs w:val="22"/>
              </w:rPr>
            </w:pPr>
            <w:r>
              <w:rPr>
                <w:rFonts w:ascii="Arial" w:hAnsi="Arial" w:cs="Arial"/>
                <w:sz w:val="22"/>
                <w:szCs w:val="22"/>
              </w:rPr>
              <w:t>Stage 2</w:t>
            </w:r>
          </w:p>
          <w:p w14:paraId="2E7D5F02" w14:textId="77777777" w:rsidR="00D337E2" w:rsidRDefault="00D337E2" w:rsidP="005D2FB7">
            <w:pPr>
              <w:jc w:val="both"/>
              <w:rPr>
                <w:rFonts w:ascii="Arial" w:hAnsi="Arial" w:cs="Arial"/>
                <w:sz w:val="22"/>
                <w:szCs w:val="22"/>
              </w:rPr>
            </w:pPr>
          </w:p>
          <w:p w14:paraId="1AB2AC1E" w14:textId="77777777" w:rsidR="00D337E2" w:rsidRDefault="00D337E2" w:rsidP="005D2FB7">
            <w:pPr>
              <w:jc w:val="both"/>
              <w:rPr>
                <w:rFonts w:ascii="Arial" w:hAnsi="Arial" w:cs="Arial"/>
                <w:sz w:val="22"/>
                <w:szCs w:val="22"/>
              </w:rPr>
            </w:pPr>
            <w:r>
              <w:rPr>
                <w:rFonts w:ascii="Arial" w:hAnsi="Arial" w:cs="Arial"/>
                <w:sz w:val="22"/>
                <w:szCs w:val="22"/>
              </w:rPr>
              <w:t>Proposed Lot 103.1 – 7,425m</w:t>
            </w:r>
            <w:r>
              <w:rPr>
                <w:rFonts w:ascii="Arial" w:hAnsi="Arial" w:cs="Arial"/>
                <w:sz w:val="22"/>
                <w:szCs w:val="22"/>
                <w:vertAlign w:val="superscript"/>
              </w:rPr>
              <w:t>2</w:t>
            </w:r>
          </w:p>
          <w:p w14:paraId="5381ACF3" w14:textId="77777777" w:rsidR="00D337E2" w:rsidRDefault="00D337E2" w:rsidP="005D2FB7">
            <w:pPr>
              <w:jc w:val="both"/>
              <w:rPr>
                <w:rFonts w:ascii="Arial" w:hAnsi="Arial" w:cs="Arial"/>
                <w:sz w:val="22"/>
                <w:szCs w:val="22"/>
              </w:rPr>
            </w:pPr>
            <w:r>
              <w:rPr>
                <w:rFonts w:ascii="Arial" w:hAnsi="Arial" w:cs="Arial"/>
                <w:sz w:val="22"/>
                <w:szCs w:val="22"/>
              </w:rPr>
              <w:t>Proposed Lot 103.2 – 19,115m</w:t>
            </w:r>
            <w:r>
              <w:rPr>
                <w:rFonts w:ascii="Arial" w:hAnsi="Arial" w:cs="Arial"/>
                <w:sz w:val="22"/>
                <w:szCs w:val="22"/>
                <w:vertAlign w:val="superscript"/>
              </w:rPr>
              <w:t>2</w:t>
            </w:r>
          </w:p>
          <w:p w14:paraId="6A37065B" w14:textId="77777777" w:rsidR="00084EFC" w:rsidRDefault="00084EFC" w:rsidP="005D2FB7">
            <w:pPr>
              <w:jc w:val="both"/>
              <w:rPr>
                <w:rFonts w:ascii="Arial" w:hAnsi="Arial" w:cs="Arial"/>
                <w:bCs/>
                <w:sz w:val="22"/>
                <w:szCs w:val="22"/>
              </w:rPr>
            </w:pPr>
          </w:p>
          <w:p w14:paraId="4266AF9F" w14:textId="065AF35E" w:rsidR="00D337E2" w:rsidRDefault="00D337E2" w:rsidP="005D2FB7">
            <w:pPr>
              <w:jc w:val="both"/>
              <w:rPr>
                <w:rFonts w:ascii="Arial" w:hAnsi="Arial" w:cs="Arial"/>
                <w:sz w:val="22"/>
                <w:szCs w:val="22"/>
              </w:rPr>
            </w:pPr>
            <w:r>
              <w:rPr>
                <w:rFonts w:ascii="Arial" w:hAnsi="Arial" w:cs="Arial"/>
                <w:sz w:val="22"/>
                <w:szCs w:val="22"/>
              </w:rPr>
              <w:t xml:space="preserve">Stage 3 </w:t>
            </w:r>
          </w:p>
          <w:p w14:paraId="786C4F22" w14:textId="77777777" w:rsidR="00D337E2" w:rsidRDefault="00D337E2" w:rsidP="005D2FB7">
            <w:pPr>
              <w:jc w:val="both"/>
              <w:rPr>
                <w:rFonts w:ascii="Arial" w:hAnsi="Arial" w:cs="Arial"/>
                <w:sz w:val="22"/>
                <w:szCs w:val="22"/>
              </w:rPr>
            </w:pPr>
          </w:p>
          <w:p w14:paraId="6E24CC87" w14:textId="1F30E533" w:rsidR="00D337E2" w:rsidRPr="00D337E2" w:rsidRDefault="00D337E2" w:rsidP="005D2FB7">
            <w:pPr>
              <w:jc w:val="both"/>
              <w:rPr>
                <w:rFonts w:ascii="Arial" w:hAnsi="Arial" w:cs="Arial"/>
                <w:sz w:val="22"/>
                <w:szCs w:val="22"/>
              </w:rPr>
            </w:pPr>
            <w:r>
              <w:rPr>
                <w:rFonts w:ascii="Arial" w:hAnsi="Arial" w:cs="Arial"/>
                <w:sz w:val="22"/>
                <w:szCs w:val="22"/>
              </w:rPr>
              <w:t xml:space="preserve">Proposed Lot 1 </w:t>
            </w:r>
            <w:r w:rsidR="00D34D1E">
              <w:rPr>
                <w:rFonts w:ascii="Arial" w:hAnsi="Arial" w:cs="Arial"/>
                <w:sz w:val="22"/>
                <w:szCs w:val="22"/>
              </w:rPr>
              <w:t>to</w:t>
            </w:r>
            <w:r>
              <w:rPr>
                <w:rFonts w:ascii="Arial" w:hAnsi="Arial" w:cs="Arial"/>
                <w:sz w:val="22"/>
                <w:szCs w:val="22"/>
              </w:rPr>
              <w:t xml:space="preserve"> 28 – 221m</w:t>
            </w:r>
            <w:r>
              <w:rPr>
                <w:rFonts w:ascii="Arial" w:hAnsi="Arial" w:cs="Arial"/>
                <w:sz w:val="22"/>
                <w:szCs w:val="22"/>
                <w:vertAlign w:val="superscript"/>
              </w:rPr>
              <w:t>2</w:t>
            </w:r>
            <w:r w:rsidR="00D34D1E">
              <w:rPr>
                <w:rFonts w:ascii="Arial" w:hAnsi="Arial" w:cs="Arial"/>
                <w:sz w:val="22"/>
                <w:szCs w:val="22"/>
              </w:rPr>
              <w:t xml:space="preserve"> to </w:t>
            </w:r>
            <w:r>
              <w:rPr>
                <w:rFonts w:ascii="Arial" w:hAnsi="Arial" w:cs="Arial"/>
                <w:sz w:val="22"/>
                <w:szCs w:val="22"/>
              </w:rPr>
              <w:t>355</w:t>
            </w:r>
            <w:r w:rsidR="00D34D1E">
              <w:rPr>
                <w:rFonts w:ascii="Arial" w:hAnsi="Arial" w:cs="Arial"/>
                <w:sz w:val="22"/>
                <w:szCs w:val="22"/>
              </w:rPr>
              <w:t>m</w:t>
            </w:r>
            <w:r w:rsidR="00D34D1E">
              <w:rPr>
                <w:rFonts w:ascii="Arial" w:hAnsi="Arial" w:cs="Arial"/>
                <w:sz w:val="22"/>
                <w:szCs w:val="22"/>
                <w:vertAlign w:val="superscript"/>
              </w:rPr>
              <w:t>2</w:t>
            </w:r>
          </w:p>
        </w:tc>
        <w:tc>
          <w:tcPr>
            <w:tcW w:w="1701" w:type="dxa"/>
          </w:tcPr>
          <w:p w14:paraId="14C73694" w14:textId="77777777" w:rsidR="00BF3134" w:rsidRPr="006501D7" w:rsidRDefault="006501D7" w:rsidP="005D2FB7">
            <w:pPr>
              <w:jc w:val="both"/>
              <w:rPr>
                <w:rFonts w:ascii="Arial" w:hAnsi="Arial" w:cs="Arial"/>
                <w:sz w:val="22"/>
                <w:szCs w:val="22"/>
              </w:rPr>
            </w:pPr>
            <w:r>
              <w:rPr>
                <w:rFonts w:ascii="Arial" w:hAnsi="Arial" w:cs="Arial"/>
                <w:sz w:val="22"/>
                <w:szCs w:val="22"/>
              </w:rPr>
              <w:t>Yes</w:t>
            </w:r>
          </w:p>
        </w:tc>
      </w:tr>
      <w:tr w:rsidR="002B3A33" w14:paraId="3DB599A3" w14:textId="77777777" w:rsidTr="00D864CB">
        <w:trPr>
          <w:trHeight w:val="1125"/>
        </w:trPr>
        <w:tc>
          <w:tcPr>
            <w:tcW w:w="1809" w:type="dxa"/>
          </w:tcPr>
          <w:p w14:paraId="3DAD2DF9" w14:textId="77777777" w:rsidR="002B3A33" w:rsidRPr="00D864CB" w:rsidRDefault="002B3A33" w:rsidP="002B3A33">
            <w:pPr>
              <w:jc w:val="both"/>
              <w:rPr>
                <w:rFonts w:ascii="Arial" w:hAnsi="Arial" w:cs="Arial"/>
                <w:b/>
                <w:sz w:val="22"/>
                <w:szCs w:val="22"/>
              </w:rPr>
            </w:pPr>
            <w:r w:rsidRPr="00D864CB">
              <w:rPr>
                <w:rFonts w:ascii="Arial" w:hAnsi="Arial" w:cs="Arial"/>
                <w:b/>
                <w:sz w:val="22"/>
                <w:szCs w:val="22"/>
              </w:rPr>
              <w:t>Clause 4.3</w:t>
            </w:r>
          </w:p>
          <w:p w14:paraId="13C42D1D" w14:textId="37C98133" w:rsidR="002B3A33" w:rsidRPr="00D864CB" w:rsidRDefault="002B3A33" w:rsidP="002B3A33">
            <w:pPr>
              <w:jc w:val="both"/>
              <w:rPr>
                <w:rFonts w:ascii="Arial" w:hAnsi="Arial" w:cs="Arial"/>
                <w:b/>
              </w:rPr>
            </w:pPr>
            <w:r w:rsidRPr="00D864CB">
              <w:rPr>
                <w:rFonts w:ascii="Arial" w:hAnsi="Arial" w:cs="Arial"/>
                <w:b/>
                <w:sz w:val="22"/>
                <w:szCs w:val="22"/>
              </w:rPr>
              <w:t>Height of buildings</w:t>
            </w:r>
          </w:p>
        </w:tc>
        <w:tc>
          <w:tcPr>
            <w:tcW w:w="5387" w:type="dxa"/>
          </w:tcPr>
          <w:p w14:paraId="1DCF00FC" w14:textId="77777777" w:rsidR="002B3A33" w:rsidRDefault="002B3A33" w:rsidP="002B3A33">
            <w:pPr>
              <w:ind w:left="454" w:hanging="454"/>
              <w:jc w:val="both"/>
              <w:rPr>
                <w:rFonts w:ascii="Arial" w:hAnsi="Arial" w:cs="Arial"/>
                <w:bCs/>
                <w:sz w:val="22"/>
                <w:szCs w:val="22"/>
              </w:rPr>
            </w:pPr>
            <w:r>
              <w:rPr>
                <w:rFonts w:ascii="Arial" w:hAnsi="Arial" w:cs="Arial"/>
                <w:bCs/>
                <w:sz w:val="22"/>
                <w:szCs w:val="22"/>
              </w:rPr>
              <w:t>(2)  The height of a building on any land is not to exceed the maximum height shown for the land on the Height of Buildings Map.</w:t>
            </w:r>
          </w:p>
          <w:p w14:paraId="29659658" w14:textId="77777777" w:rsidR="002B3A33" w:rsidRDefault="002B3A33" w:rsidP="002B3A33">
            <w:pPr>
              <w:ind w:left="454" w:hanging="454"/>
              <w:jc w:val="both"/>
              <w:rPr>
                <w:rFonts w:ascii="Arial" w:hAnsi="Arial" w:cs="Arial"/>
                <w:bCs/>
                <w:sz w:val="22"/>
                <w:szCs w:val="22"/>
              </w:rPr>
            </w:pPr>
          </w:p>
          <w:p w14:paraId="39457CCB" w14:textId="77777777" w:rsidR="002B3A33" w:rsidRDefault="002B3A33" w:rsidP="002B3A33">
            <w:pPr>
              <w:ind w:left="454"/>
              <w:jc w:val="both"/>
              <w:rPr>
                <w:rFonts w:ascii="Arial" w:hAnsi="Arial" w:cs="Arial"/>
                <w:bCs/>
                <w:sz w:val="22"/>
                <w:szCs w:val="22"/>
              </w:rPr>
            </w:pPr>
            <w:r>
              <w:rPr>
                <w:rFonts w:ascii="Arial" w:hAnsi="Arial" w:cs="Arial"/>
                <w:bCs/>
                <w:sz w:val="22"/>
                <w:szCs w:val="22"/>
              </w:rPr>
              <w:t>J – 9.5 metres</w:t>
            </w:r>
          </w:p>
          <w:p w14:paraId="680369CE" w14:textId="77777777" w:rsidR="002B3A33" w:rsidRPr="006501D7" w:rsidRDefault="002B3A33" w:rsidP="002B3A33">
            <w:pPr>
              <w:pStyle w:val="ListParagraph"/>
              <w:ind w:left="454"/>
              <w:jc w:val="both"/>
              <w:rPr>
                <w:rFonts w:cs="Arial"/>
                <w:bCs/>
                <w:sz w:val="22"/>
                <w:szCs w:val="22"/>
              </w:rPr>
            </w:pPr>
          </w:p>
        </w:tc>
        <w:tc>
          <w:tcPr>
            <w:tcW w:w="5245" w:type="dxa"/>
          </w:tcPr>
          <w:p w14:paraId="491BD955" w14:textId="77777777" w:rsidR="002B3A33" w:rsidRPr="00833EF7" w:rsidRDefault="002B3A33" w:rsidP="002B3A33">
            <w:pPr>
              <w:jc w:val="both"/>
              <w:rPr>
                <w:rFonts w:ascii="Arial" w:hAnsi="Arial" w:cs="Arial"/>
                <w:sz w:val="22"/>
                <w:szCs w:val="22"/>
                <w:u w:val="single"/>
              </w:rPr>
            </w:pPr>
            <w:r w:rsidRPr="00833EF7">
              <w:rPr>
                <w:rFonts w:ascii="Arial" w:hAnsi="Arial" w:cs="Arial"/>
                <w:sz w:val="22"/>
                <w:szCs w:val="22"/>
                <w:u w:val="single"/>
              </w:rPr>
              <w:t xml:space="preserve">Stage 1 </w:t>
            </w:r>
          </w:p>
          <w:p w14:paraId="1F4B46AE" w14:textId="77777777" w:rsidR="002B3A33" w:rsidRDefault="002B3A33" w:rsidP="002B3A33">
            <w:pPr>
              <w:jc w:val="both"/>
              <w:rPr>
                <w:rFonts w:ascii="Arial" w:hAnsi="Arial" w:cs="Arial"/>
                <w:b/>
                <w:sz w:val="22"/>
                <w:szCs w:val="22"/>
              </w:rPr>
            </w:pPr>
            <w:r w:rsidRPr="00B93331">
              <w:rPr>
                <w:rFonts w:ascii="Arial" w:hAnsi="Arial" w:cs="Arial"/>
                <w:b/>
                <w:sz w:val="22"/>
                <w:szCs w:val="22"/>
              </w:rPr>
              <w:t xml:space="preserve">Child care facility </w:t>
            </w:r>
          </w:p>
          <w:p w14:paraId="1899F36A" w14:textId="77777777" w:rsidR="002B3A33" w:rsidRPr="00FE7D82" w:rsidRDefault="002B3A33" w:rsidP="002B3A33">
            <w:pPr>
              <w:jc w:val="both"/>
              <w:rPr>
                <w:rFonts w:ascii="Arial" w:hAnsi="Arial" w:cs="Arial"/>
                <w:bCs/>
                <w:sz w:val="22"/>
                <w:szCs w:val="22"/>
              </w:rPr>
            </w:pPr>
            <w:r>
              <w:rPr>
                <w:rFonts w:ascii="Arial" w:hAnsi="Arial" w:cs="Arial"/>
                <w:bCs/>
                <w:sz w:val="22"/>
                <w:szCs w:val="22"/>
              </w:rPr>
              <w:t>9.125m</w:t>
            </w:r>
          </w:p>
          <w:p w14:paraId="79E8167B" w14:textId="77777777" w:rsidR="002B3A33" w:rsidRDefault="002B3A33" w:rsidP="002B3A33">
            <w:pPr>
              <w:jc w:val="both"/>
              <w:rPr>
                <w:rFonts w:ascii="Arial" w:hAnsi="Arial" w:cs="Arial"/>
                <w:sz w:val="22"/>
                <w:szCs w:val="22"/>
              </w:rPr>
            </w:pPr>
            <w:r w:rsidRPr="00B93331">
              <w:rPr>
                <w:rFonts w:ascii="Arial" w:hAnsi="Arial" w:cs="Arial"/>
                <w:b/>
                <w:sz w:val="22"/>
                <w:szCs w:val="22"/>
              </w:rPr>
              <w:t>Residential Aged Care Facility</w:t>
            </w:r>
          </w:p>
          <w:p w14:paraId="19CF6D5B" w14:textId="77777777" w:rsidR="002B3A33" w:rsidRDefault="002B3A33" w:rsidP="002B3A33">
            <w:pPr>
              <w:jc w:val="both"/>
              <w:rPr>
                <w:rFonts w:ascii="Arial" w:hAnsi="Arial" w:cs="Arial"/>
                <w:b/>
                <w:sz w:val="22"/>
                <w:szCs w:val="22"/>
              </w:rPr>
            </w:pPr>
            <w:r>
              <w:rPr>
                <w:rFonts w:ascii="Arial" w:hAnsi="Arial" w:cs="Arial"/>
                <w:sz w:val="22"/>
                <w:szCs w:val="22"/>
              </w:rPr>
              <w:t>8.3m</w:t>
            </w:r>
          </w:p>
          <w:p w14:paraId="45A2F00F" w14:textId="77777777" w:rsidR="002B3A33" w:rsidRDefault="002B3A33" w:rsidP="002B3A33">
            <w:pPr>
              <w:jc w:val="both"/>
              <w:rPr>
                <w:rFonts w:ascii="Arial" w:hAnsi="Arial" w:cs="Arial"/>
                <w:b/>
                <w:sz w:val="22"/>
                <w:szCs w:val="22"/>
              </w:rPr>
            </w:pPr>
          </w:p>
          <w:p w14:paraId="16E04B8A" w14:textId="77777777" w:rsidR="002B3A33" w:rsidRPr="00833EF7" w:rsidRDefault="002B3A33" w:rsidP="002B3A33">
            <w:pPr>
              <w:jc w:val="both"/>
              <w:rPr>
                <w:rFonts w:ascii="Arial" w:hAnsi="Arial" w:cs="Arial"/>
                <w:bCs/>
                <w:sz w:val="22"/>
                <w:szCs w:val="22"/>
                <w:u w:val="single"/>
              </w:rPr>
            </w:pPr>
            <w:r w:rsidRPr="00833EF7">
              <w:rPr>
                <w:rFonts w:ascii="Arial" w:hAnsi="Arial" w:cs="Arial"/>
                <w:bCs/>
                <w:sz w:val="22"/>
                <w:szCs w:val="22"/>
                <w:u w:val="single"/>
              </w:rPr>
              <w:t>Stage 2 - Concept Approval</w:t>
            </w:r>
          </w:p>
          <w:p w14:paraId="6E8022B1" w14:textId="77777777" w:rsidR="002B3A33" w:rsidRDefault="002B3A33" w:rsidP="002B3A33">
            <w:pPr>
              <w:jc w:val="both"/>
              <w:rPr>
                <w:rFonts w:ascii="Arial" w:hAnsi="Arial" w:cs="Arial"/>
                <w:b/>
                <w:sz w:val="22"/>
                <w:szCs w:val="22"/>
              </w:rPr>
            </w:pPr>
            <w:r>
              <w:rPr>
                <w:rFonts w:ascii="Arial" w:hAnsi="Arial" w:cs="Arial"/>
                <w:b/>
                <w:sz w:val="22"/>
                <w:szCs w:val="22"/>
              </w:rPr>
              <w:t xml:space="preserve">Seniors Housing Apartments </w:t>
            </w:r>
          </w:p>
          <w:p w14:paraId="10062756" w14:textId="77777777" w:rsidR="002B3A33" w:rsidRPr="00FE7D82" w:rsidRDefault="002B3A33" w:rsidP="002B3A33">
            <w:pPr>
              <w:jc w:val="both"/>
              <w:rPr>
                <w:rFonts w:ascii="Arial" w:hAnsi="Arial" w:cs="Arial"/>
                <w:bCs/>
                <w:sz w:val="22"/>
                <w:szCs w:val="22"/>
              </w:rPr>
            </w:pPr>
            <w:r>
              <w:rPr>
                <w:rFonts w:ascii="Arial" w:hAnsi="Arial" w:cs="Arial"/>
                <w:bCs/>
                <w:sz w:val="22"/>
                <w:szCs w:val="22"/>
              </w:rPr>
              <w:t>2 – 3 storeys proposed. Section plans demonstrate that concept building will be lower than 9.5m in height.</w:t>
            </w:r>
          </w:p>
          <w:p w14:paraId="571FBD72" w14:textId="77777777" w:rsidR="002B3A33" w:rsidRDefault="002B3A33" w:rsidP="002B3A33">
            <w:pPr>
              <w:jc w:val="both"/>
              <w:rPr>
                <w:rFonts w:ascii="Arial" w:hAnsi="Arial" w:cs="Arial"/>
                <w:b/>
                <w:sz w:val="22"/>
                <w:szCs w:val="22"/>
              </w:rPr>
            </w:pPr>
          </w:p>
          <w:p w14:paraId="77B3A8E2" w14:textId="77777777" w:rsidR="002B3A33" w:rsidRPr="00833EF7" w:rsidRDefault="002B3A33" w:rsidP="002B3A33">
            <w:pPr>
              <w:jc w:val="both"/>
              <w:rPr>
                <w:rFonts w:ascii="Arial" w:hAnsi="Arial" w:cs="Arial"/>
                <w:bCs/>
                <w:sz w:val="22"/>
                <w:szCs w:val="22"/>
                <w:u w:val="single"/>
              </w:rPr>
            </w:pPr>
            <w:r w:rsidRPr="00833EF7">
              <w:rPr>
                <w:rFonts w:ascii="Arial" w:hAnsi="Arial" w:cs="Arial"/>
                <w:bCs/>
                <w:sz w:val="22"/>
                <w:szCs w:val="22"/>
                <w:u w:val="single"/>
              </w:rPr>
              <w:lastRenderedPageBreak/>
              <w:t>Stage 3 - Concept Approval</w:t>
            </w:r>
          </w:p>
          <w:p w14:paraId="67CDE8A2" w14:textId="349B4B6F" w:rsidR="002B3A33" w:rsidRDefault="002B3A33" w:rsidP="002B3A33">
            <w:pPr>
              <w:jc w:val="both"/>
              <w:rPr>
                <w:rFonts w:ascii="Arial" w:hAnsi="Arial" w:cs="Arial"/>
                <w:b/>
                <w:sz w:val="22"/>
                <w:szCs w:val="22"/>
              </w:rPr>
            </w:pPr>
            <w:r>
              <w:rPr>
                <w:rFonts w:ascii="Arial" w:hAnsi="Arial" w:cs="Arial"/>
                <w:b/>
                <w:sz w:val="22"/>
                <w:szCs w:val="22"/>
              </w:rPr>
              <w:t xml:space="preserve">Semi-attached dwellings </w:t>
            </w:r>
          </w:p>
          <w:p w14:paraId="65FEED7C" w14:textId="616289E2" w:rsidR="002B3A33" w:rsidRPr="00D337E2" w:rsidRDefault="002B3A33" w:rsidP="002B3A33">
            <w:pPr>
              <w:jc w:val="both"/>
              <w:rPr>
                <w:rFonts w:ascii="Arial" w:hAnsi="Arial" w:cs="Arial"/>
              </w:rPr>
            </w:pPr>
            <w:r>
              <w:rPr>
                <w:rFonts w:ascii="Arial" w:hAnsi="Arial" w:cs="Arial"/>
                <w:bCs/>
                <w:sz w:val="22"/>
                <w:szCs w:val="22"/>
              </w:rPr>
              <w:t>1 – 2 storeys proposed. Proposed semi-attached dwellings will not exceed a height of 9.5m.</w:t>
            </w:r>
          </w:p>
        </w:tc>
        <w:tc>
          <w:tcPr>
            <w:tcW w:w="1701" w:type="dxa"/>
          </w:tcPr>
          <w:p w14:paraId="7FE98C3A" w14:textId="16A9806E" w:rsidR="002B3A33" w:rsidRPr="002B3A33" w:rsidRDefault="002B3A33" w:rsidP="005D2FB7">
            <w:pPr>
              <w:jc w:val="both"/>
              <w:rPr>
                <w:rFonts w:ascii="Arial" w:hAnsi="Arial" w:cs="Arial"/>
                <w:sz w:val="22"/>
                <w:szCs w:val="22"/>
              </w:rPr>
            </w:pPr>
            <w:r w:rsidRPr="002B3A33">
              <w:rPr>
                <w:rFonts w:ascii="Arial" w:hAnsi="Arial" w:cs="Arial"/>
                <w:sz w:val="22"/>
                <w:szCs w:val="22"/>
              </w:rPr>
              <w:lastRenderedPageBreak/>
              <w:t>Yes</w:t>
            </w:r>
          </w:p>
        </w:tc>
      </w:tr>
      <w:tr w:rsidR="002B3A33" w14:paraId="240A61B6" w14:textId="77777777" w:rsidTr="002B3A33">
        <w:trPr>
          <w:trHeight w:val="557"/>
        </w:trPr>
        <w:tc>
          <w:tcPr>
            <w:tcW w:w="1809" w:type="dxa"/>
          </w:tcPr>
          <w:p w14:paraId="0519CEF3" w14:textId="77777777" w:rsidR="002B3A33" w:rsidRPr="00D864CB" w:rsidRDefault="002B3A33" w:rsidP="002B3A33">
            <w:pPr>
              <w:jc w:val="both"/>
              <w:rPr>
                <w:rFonts w:ascii="Arial" w:hAnsi="Arial" w:cs="Arial"/>
                <w:b/>
                <w:sz w:val="22"/>
                <w:szCs w:val="22"/>
              </w:rPr>
            </w:pPr>
            <w:r w:rsidRPr="00D864CB">
              <w:rPr>
                <w:rFonts w:ascii="Arial" w:hAnsi="Arial" w:cs="Arial"/>
                <w:b/>
                <w:sz w:val="22"/>
                <w:szCs w:val="22"/>
              </w:rPr>
              <w:t>Clause 6.1</w:t>
            </w:r>
          </w:p>
          <w:p w14:paraId="2C9CA46C" w14:textId="4A24E54B" w:rsidR="002B3A33" w:rsidRPr="00D864CB" w:rsidRDefault="002B3A33" w:rsidP="002B3A33">
            <w:pPr>
              <w:jc w:val="both"/>
              <w:rPr>
                <w:rFonts w:ascii="Arial" w:hAnsi="Arial" w:cs="Arial"/>
                <w:b/>
              </w:rPr>
            </w:pPr>
            <w:r w:rsidRPr="00D864CB">
              <w:rPr>
                <w:rFonts w:ascii="Arial" w:hAnsi="Arial" w:cs="Arial"/>
                <w:b/>
                <w:sz w:val="22"/>
                <w:szCs w:val="22"/>
              </w:rPr>
              <w:t>Arrangements for designated State Public infrastructure</w:t>
            </w:r>
          </w:p>
        </w:tc>
        <w:tc>
          <w:tcPr>
            <w:tcW w:w="5387" w:type="dxa"/>
          </w:tcPr>
          <w:p w14:paraId="2241FD9C" w14:textId="77777777" w:rsidR="002B3A33" w:rsidRDefault="002B3A33" w:rsidP="002B3A33">
            <w:pPr>
              <w:ind w:left="454" w:hanging="454"/>
              <w:jc w:val="both"/>
              <w:rPr>
                <w:rFonts w:ascii="Arial" w:hAnsi="Arial" w:cs="Arial"/>
                <w:bCs/>
                <w:sz w:val="22"/>
                <w:szCs w:val="22"/>
              </w:rPr>
            </w:pPr>
            <w:r>
              <w:rPr>
                <w:rFonts w:ascii="Arial" w:hAnsi="Arial" w:cs="Arial"/>
                <w:bCs/>
                <w:sz w:val="22"/>
                <w:szCs w:val="22"/>
              </w:rPr>
              <w:t>(2)  Development consent must not be granted for the subdivision of land in an urban release area:</w:t>
            </w:r>
          </w:p>
          <w:p w14:paraId="58AB198B" w14:textId="77777777" w:rsidR="002B3A33" w:rsidRDefault="002B3A33" w:rsidP="002B3A33">
            <w:pPr>
              <w:ind w:left="454" w:hanging="454"/>
              <w:jc w:val="both"/>
              <w:rPr>
                <w:rFonts w:ascii="Arial" w:hAnsi="Arial" w:cs="Arial"/>
                <w:bCs/>
                <w:sz w:val="22"/>
                <w:szCs w:val="22"/>
              </w:rPr>
            </w:pPr>
          </w:p>
          <w:p w14:paraId="36FFDB77" w14:textId="77777777" w:rsidR="002B3A33" w:rsidRPr="004E2C64" w:rsidRDefault="002B3A33" w:rsidP="002B3A33">
            <w:pPr>
              <w:pStyle w:val="ListParagraph"/>
              <w:numPr>
                <w:ilvl w:val="0"/>
                <w:numId w:val="8"/>
              </w:numPr>
              <w:jc w:val="both"/>
              <w:rPr>
                <w:rFonts w:cs="Arial"/>
                <w:bCs/>
              </w:rPr>
            </w:pPr>
            <w:r>
              <w:rPr>
                <w:rFonts w:cs="Arial"/>
                <w:bCs/>
                <w:sz w:val="22"/>
                <w:szCs w:val="22"/>
              </w:rPr>
              <w:t>If the subdivision would create a lot smaller than the minimum lot size permitted on the land immediately before the land became, or became part of, an urban release area</w:t>
            </w:r>
          </w:p>
          <w:p w14:paraId="10932246" w14:textId="77777777" w:rsidR="002B3A33" w:rsidRDefault="002B3A33" w:rsidP="002B3A33">
            <w:pPr>
              <w:pStyle w:val="ListParagraph"/>
              <w:ind w:left="814"/>
              <w:jc w:val="both"/>
              <w:rPr>
                <w:rFonts w:cs="Arial"/>
                <w:bCs/>
                <w:sz w:val="22"/>
                <w:szCs w:val="22"/>
              </w:rPr>
            </w:pPr>
          </w:p>
          <w:p w14:paraId="105C95F5" w14:textId="77969A30" w:rsidR="002B3A33" w:rsidRPr="002B3A33" w:rsidRDefault="002B3A33" w:rsidP="002B3A33">
            <w:pPr>
              <w:ind w:left="454"/>
              <w:jc w:val="both"/>
              <w:rPr>
                <w:rFonts w:ascii="Arial" w:hAnsi="Arial" w:cs="Arial"/>
                <w:bCs/>
              </w:rPr>
            </w:pPr>
            <w:r w:rsidRPr="002B3A33">
              <w:rPr>
                <w:rFonts w:ascii="Arial" w:hAnsi="Arial" w:cs="Arial"/>
                <w:bCs/>
                <w:sz w:val="22"/>
                <w:szCs w:val="22"/>
              </w:rPr>
              <w:t>Unless the Director-General has certified in writing to the consent authority that satisfactory arrangements have been made to contribute to the provision of designated State public infrastructure in relation to that lot.</w:t>
            </w:r>
          </w:p>
        </w:tc>
        <w:tc>
          <w:tcPr>
            <w:tcW w:w="5245" w:type="dxa"/>
          </w:tcPr>
          <w:p w14:paraId="4AF19FDC" w14:textId="5AEA6A34" w:rsidR="002B3A33" w:rsidRPr="00B93331" w:rsidRDefault="002B3A33" w:rsidP="002B3A33">
            <w:pPr>
              <w:jc w:val="both"/>
              <w:rPr>
                <w:rFonts w:ascii="Arial" w:hAnsi="Arial" w:cs="Arial"/>
              </w:rPr>
            </w:pPr>
            <w:r>
              <w:rPr>
                <w:rFonts w:ascii="Arial" w:hAnsi="Arial" w:cs="Arial"/>
                <w:sz w:val="22"/>
                <w:szCs w:val="22"/>
              </w:rPr>
              <w:t>A standard condition is recommended to address this matter. SIC will be imposed upon the development consent.</w:t>
            </w:r>
          </w:p>
        </w:tc>
        <w:tc>
          <w:tcPr>
            <w:tcW w:w="1701" w:type="dxa"/>
          </w:tcPr>
          <w:p w14:paraId="328E9C2E" w14:textId="75C49DFD" w:rsidR="002B3A33" w:rsidRDefault="002B3A33" w:rsidP="005D2FB7">
            <w:pPr>
              <w:jc w:val="both"/>
              <w:rPr>
                <w:rFonts w:ascii="Arial" w:hAnsi="Arial" w:cs="Arial"/>
              </w:rPr>
            </w:pPr>
            <w:r>
              <w:rPr>
                <w:rFonts w:ascii="Arial" w:hAnsi="Arial" w:cs="Arial"/>
                <w:sz w:val="22"/>
                <w:szCs w:val="22"/>
              </w:rPr>
              <w:t>Yes, subject to conditions.</w:t>
            </w:r>
          </w:p>
        </w:tc>
      </w:tr>
      <w:tr w:rsidR="002B3A33" w14:paraId="5BF4367F" w14:textId="77777777" w:rsidTr="002B3A33">
        <w:trPr>
          <w:trHeight w:val="557"/>
        </w:trPr>
        <w:tc>
          <w:tcPr>
            <w:tcW w:w="1809" w:type="dxa"/>
          </w:tcPr>
          <w:p w14:paraId="36C4A272" w14:textId="77777777" w:rsidR="002B3A33" w:rsidRPr="00D864CB" w:rsidRDefault="002B3A33" w:rsidP="002B3A33">
            <w:pPr>
              <w:jc w:val="both"/>
              <w:rPr>
                <w:rFonts w:ascii="Arial" w:hAnsi="Arial" w:cs="Arial"/>
                <w:b/>
                <w:sz w:val="22"/>
                <w:szCs w:val="22"/>
              </w:rPr>
            </w:pPr>
            <w:r w:rsidRPr="00D864CB">
              <w:rPr>
                <w:rFonts w:ascii="Arial" w:hAnsi="Arial" w:cs="Arial"/>
                <w:b/>
                <w:sz w:val="22"/>
                <w:szCs w:val="22"/>
              </w:rPr>
              <w:t>Clause 6.2</w:t>
            </w:r>
          </w:p>
          <w:p w14:paraId="14CC8E75" w14:textId="3098B925" w:rsidR="002B3A33" w:rsidRPr="00D864CB" w:rsidRDefault="002B3A33" w:rsidP="002B3A33">
            <w:pPr>
              <w:jc w:val="both"/>
              <w:rPr>
                <w:rFonts w:ascii="Arial" w:hAnsi="Arial" w:cs="Arial"/>
                <w:b/>
              </w:rPr>
            </w:pPr>
            <w:r w:rsidRPr="00D864CB">
              <w:rPr>
                <w:rFonts w:ascii="Arial" w:hAnsi="Arial" w:cs="Arial"/>
                <w:b/>
                <w:sz w:val="22"/>
                <w:szCs w:val="22"/>
              </w:rPr>
              <w:t>Public utility infrastructure</w:t>
            </w:r>
          </w:p>
        </w:tc>
        <w:tc>
          <w:tcPr>
            <w:tcW w:w="5387" w:type="dxa"/>
          </w:tcPr>
          <w:p w14:paraId="0681ECF5" w14:textId="58E15DA2" w:rsidR="002B3A33" w:rsidRPr="002B3A33" w:rsidRDefault="002B3A33" w:rsidP="002B3A33">
            <w:pPr>
              <w:pStyle w:val="ListParagraph"/>
              <w:numPr>
                <w:ilvl w:val="0"/>
                <w:numId w:val="18"/>
              </w:numPr>
              <w:ind w:left="454" w:hanging="454"/>
              <w:jc w:val="both"/>
              <w:rPr>
                <w:rFonts w:cs="Arial"/>
                <w:bCs/>
                <w:sz w:val="20"/>
                <w:szCs w:val="20"/>
              </w:rPr>
            </w:pPr>
            <w:r w:rsidRPr="002B3A33">
              <w:rPr>
                <w:rFonts w:cs="Arial"/>
                <w:bCs/>
                <w:sz w:val="22"/>
                <w:szCs w:val="22"/>
              </w:rPr>
              <w:t>Development consent must not be granted for development on land in an urban release area unless the Council is satisfied that any public utility infrastructure that is essential for the proposed development is available or that adequate arrangements have been made to make that infrastructure available when it is required</w:t>
            </w:r>
            <w:r w:rsidRPr="002B3A33">
              <w:rPr>
                <w:rFonts w:ascii="Times New Roman" w:hAnsi="Times New Roman" w:cs="Arial"/>
                <w:bCs/>
              </w:rPr>
              <w:t>.</w:t>
            </w:r>
          </w:p>
        </w:tc>
        <w:tc>
          <w:tcPr>
            <w:tcW w:w="5245" w:type="dxa"/>
          </w:tcPr>
          <w:p w14:paraId="416C2D4C" w14:textId="44C251FB" w:rsidR="002B3A33" w:rsidRDefault="002B3A33" w:rsidP="002B3A33">
            <w:pPr>
              <w:jc w:val="both"/>
              <w:rPr>
                <w:rFonts w:ascii="Arial" w:hAnsi="Arial" w:cs="Arial"/>
              </w:rPr>
            </w:pPr>
            <w:r w:rsidRPr="00D05106">
              <w:rPr>
                <w:rFonts w:ascii="Arial" w:hAnsi="Arial" w:cs="Arial"/>
                <w:sz w:val="22"/>
                <w:szCs w:val="22"/>
              </w:rPr>
              <w:t>Correspondence has been received from Sydney Water advising that the site is capable of being connected to a reticulated water system and can dispose of wastewater via new extensions to the existing sewer carrier.</w:t>
            </w:r>
          </w:p>
        </w:tc>
        <w:tc>
          <w:tcPr>
            <w:tcW w:w="1701" w:type="dxa"/>
          </w:tcPr>
          <w:p w14:paraId="6E12A296" w14:textId="51667A9E" w:rsidR="002B3A33" w:rsidRPr="002B3A33" w:rsidRDefault="002B3A33" w:rsidP="005D2FB7">
            <w:pPr>
              <w:jc w:val="both"/>
              <w:rPr>
                <w:rFonts w:ascii="Arial" w:hAnsi="Arial" w:cs="Arial"/>
                <w:sz w:val="22"/>
                <w:szCs w:val="22"/>
              </w:rPr>
            </w:pPr>
            <w:r w:rsidRPr="002B3A33">
              <w:rPr>
                <w:rFonts w:ascii="Arial" w:hAnsi="Arial" w:cs="Arial"/>
                <w:sz w:val="22"/>
                <w:szCs w:val="22"/>
              </w:rPr>
              <w:t>Yes</w:t>
            </w:r>
          </w:p>
        </w:tc>
      </w:tr>
      <w:tr w:rsidR="002B3A33" w14:paraId="471FFF55" w14:textId="77777777" w:rsidTr="002B3A33">
        <w:trPr>
          <w:trHeight w:val="557"/>
        </w:trPr>
        <w:tc>
          <w:tcPr>
            <w:tcW w:w="1809" w:type="dxa"/>
          </w:tcPr>
          <w:p w14:paraId="4D1B90EA" w14:textId="77777777" w:rsidR="002B3A33" w:rsidRPr="00D864CB" w:rsidRDefault="002B3A33" w:rsidP="002B3A33">
            <w:pPr>
              <w:jc w:val="both"/>
              <w:rPr>
                <w:rFonts w:ascii="Arial" w:hAnsi="Arial" w:cs="Arial"/>
                <w:b/>
                <w:sz w:val="22"/>
                <w:szCs w:val="22"/>
              </w:rPr>
            </w:pPr>
            <w:r w:rsidRPr="00D864CB">
              <w:rPr>
                <w:rFonts w:ascii="Arial" w:hAnsi="Arial" w:cs="Arial"/>
                <w:b/>
                <w:sz w:val="22"/>
                <w:szCs w:val="22"/>
              </w:rPr>
              <w:t>Clause 6.3</w:t>
            </w:r>
          </w:p>
          <w:p w14:paraId="35933933" w14:textId="77777777" w:rsidR="002B3A33" w:rsidRPr="00D864CB" w:rsidRDefault="002B3A33" w:rsidP="002B3A33">
            <w:pPr>
              <w:jc w:val="both"/>
              <w:rPr>
                <w:rFonts w:ascii="Arial" w:hAnsi="Arial" w:cs="Arial"/>
                <w:b/>
                <w:sz w:val="22"/>
                <w:szCs w:val="22"/>
              </w:rPr>
            </w:pPr>
            <w:r w:rsidRPr="00D864CB">
              <w:rPr>
                <w:rFonts w:ascii="Arial" w:hAnsi="Arial" w:cs="Arial"/>
                <w:b/>
                <w:sz w:val="22"/>
                <w:szCs w:val="22"/>
              </w:rPr>
              <w:t>Development Control Plan</w:t>
            </w:r>
          </w:p>
          <w:p w14:paraId="408766F7" w14:textId="77777777" w:rsidR="002B3A33" w:rsidRPr="00D864CB" w:rsidRDefault="002B3A33" w:rsidP="002B3A33">
            <w:pPr>
              <w:jc w:val="both"/>
              <w:rPr>
                <w:rFonts w:ascii="Arial" w:hAnsi="Arial" w:cs="Arial"/>
                <w:b/>
              </w:rPr>
            </w:pPr>
          </w:p>
        </w:tc>
        <w:tc>
          <w:tcPr>
            <w:tcW w:w="5387" w:type="dxa"/>
          </w:tcPr>
          <w:p w14:paraId="2585DD7C" w14:textId="4B9803A7" w:rsidR="002B3A33" w:rsidRPr="002B3A33" w:rsidRDefault="002B3A33" w:rsidP="002B3A33">
            <w:pPr>
              <w:pStyle w:val="ListParagraph"/>
              <w:numPr>
                <w:ilvl w:val="0"/>
                <w:numId w:val="19"/>
              </w:numPr>
              <w:ind w:left="454" w:hanging="454"/>
              <w:jc w:val="both"/>
              <w:rPr>
                <w:rFonts w:cs="Arial"/>
                <w:bCs/>
                <w:sz w:val="22"/>
                <w:szCs w:val="22"/>
              </w:rPr>
            </w:pPr>
            <w:r w:rsidRPr="002B3A33">
              <w:rPr>
                <w:rFonts w:cs="Arial"/>
                <w:bCs/>
                <w:sz w:val="22"/>
                <w:szCs w:val="22"/>
              </w:rPr>
              <w:t>Development consent must not be granted for development on land in an urban release area unless a development control plan that provides for the matters specified in subclause (3) has been prepared for the land.</w:t>
            </w:r>
          </w:p>
        </w:tc>
        <w:tc>
          <w:tcPr>
            <w:tcW w:w="5245" w:type="dxa"/>
          </w:tcPr>
          <w:p w14:paraId="1B8EAA07" w14:textId="696B7035" w:rsidR="002B3A33" w:rsidRPr="00D05106" w:rsidRDefault="002B3A33" w:rsidP="002B3A33">
            <w:pPr>
              <w:jc w:val="both"/>
              <w:rPr>
                <w:rFonts w:ascii="Arial" w:hAnsi="Arial" w:cs="Arial"/>
              </w:rPr>
            </w:pPr>
            <w:r w:rsidRPr="00A466FC">
              <w:rPr>
                <w:rFonts w:ascii="Arial" w:hAnsi="Arial" w:cs="Arial"/>
                <w:sz w:val="22"/>
                <w:szCs w:val="22"/>
              </w:rPr>
              <w:t>A development control plan has been prepared.</w:t>
            </w:r>
          </w:p>
        </w:tc>
        <w:tc>
          <w:tcPr>
            <w:tcW w:w="1701" w:type="dxa"/>
          </w:tcPr>
          <w:p w14:paraId="4B1D8910" w14:textId="70B72523" w:rsidR="002B3A33" w:rsidRPr="002B3A33" w:rsidRDefault="002B3A33" w:rsidP="005D2FB7">
            <w:pPr>
              <w:jc w:val="both"/>
              <w:rPr>
                <w:rFonts w:ascii="Arial" w:hAnsi="Arial" w:cs="Arial"/>
                <w:sz w:val="22"/>
                <w:szCs w:val="22"/>
              </w:rPr>
            </w:pPr>
            <w:r>
              <w:rPr>
                <w:rFonts w:ascii="Arial" w:hAnsi="Arial" w:cs="Arial"/>
                <w:sz w:val="22"/>
                <w:szCs w:val="22"/>
              </w:rPr>
              <w:t>Yes</w:t>
            </w:r>
          </w:p>
        </w:tc>
      </w:tr>
      <w:tr w:rsidR="002B3A33" w14:paraId="4628A2F6" w14:textId="77777777" w:rsidTr="002B3A33">
        <w:trPr>
          <w:trHeight w:val="557"/>
        </w:trPr>
        <w:tc>
          <w:tcPr>
            <w:tcW w:w="1809" w:type="dxa"/>
          </w:tcPr>
          <w:p w14:paraId="195E194A" w14:textId="77777777" w:rsidR="002B3A33" w:rsidRPr="00D864CB" w:rsidRDefault="002B3A33" w:rsidP="002B3A33">
            <w:pPr>
              <w:jc w:val="both"/>
              <w:rPr>
                <w:rFonts w:ascii="Arial" w:hAnsi="Arial" w:cs="Arial"/>
                <w:b/>
                <w:sz w:val="22"/>
                <w:szCs w:val="22"/>
              </w:rPr>
            </w:pPr>
            <w:r w:rsidRPr="00D864CB">
              <w:rPr>
                <w:rFonts w:ascii="Arial" w:hAnsi="Arial" w:cs="Arial"/>
                <w:b/>
                <w:sz w:val="22"/>
                <w:szCs w:val="22"/>
              </w:rPr>
              <w:t>Clause 7.4</w:t>
            </w:r>
          </w:p>
          <w:p w14:paraId="30FCEB8B" w14:textId="49FCE1C2" w:rsidR="002B3A33" w:rsidRPr="00D864CB" w:rsidRDefault="002B3A33" w:rsidP="002B3A33">
            <w:pPr>
              <w:jc w:val="both"/>
              <w:rPr>
                <w:rFonts w:ascii="Arial" w:hAnsi="Arial" w:cs="Arial"/>
                <w:b/>
              </w:rPr>
            </w:pPr>
            <w:r w:rsidRPr="00D864CB">
              <w:rPr>
                <w:rFonts w:ascii="Arial" w:hAnsi="Arial" w:cs="Arial"/>
                <w:b/>
                <w:sz w:val="22"/>
                <w:szCs w:val="22"/>
              </w:rPr>
              <w:t>Earthworks</w:t>
            </w:r>
          </w:p>
        </w:tc>
        <w:tc>
          <w:tcPr>
            <w:tcW w:w="5387" w:type="dxa"/>
          </w:tcPr>
          <w:p w14:paraId="01D1EF36" w14:textId="77777777" w:rsidR="002B3A33" w:rsidRPr="009374DE" w:rsidRDefault="002B3A33" w:rsidP="002B3A33">
            <w:pPr>
              <w:pStyle w:val="ListParagraph"/>
              <w:numPr>
                <w:ilvl w:val="0"/>
                <w:numId w:val="14"/>
              </w:numPr>
              <w:ind w:left="454" w:hanging="454"/>
              <w:jc w:val="both"/>
              <w:rPr>
                <w:rFonts w:cs="Arial"/>
              </w:rPr>
            </w:pPr>
            <w:r>
              <w:rPr>
                <w:rFonts w:cs="Arial"/>
                <w:sz w:val="22"/>
                <w:szCs w:val="22"/>
              </w:rPr>
              <w:t>Before granting development consent for earthworks, the consent authority must consider the following matters:</w:t>
            </w:r>
          </w:p>
          <w:p w14:paraId="6DD28BE2" w14:textId="77777777" w:rsidR="002B3A33" w:rsidRPr="009374DE" w:rsidRDefault="002B3A33" w:rsidP="002B3A33">
            <w:pPr>
              <w:pStyle w:val="ListParagraph"/>
              <w:numPr>
                <w:ilvl w:val="0"/>
                <w:numId w:val="15"/>
              </w:numPr>
              <w:jc w:val="both"/>
              <w:rPr>
                <w:rFonts w:cs="Arial"/>
              </w:rPr>
            </w:pPr>
            <w:r>
              <w:rPr>
                <w:rFonts w:cs="Arial"/>
                <w:sz w:val="22"/>
                <w:szCs w:val="22"/>
              </w:rPr>
              <w:lastRenderedPageBreak/>
              <w:t>The likely disruption of, or any detrimental effect on, existing drainage patterns and soil stability in the locality,</w:t>
            </w:r>
          </w:p>
          <w:p w14:paraId="414D4FD2" w14:textId="77777777" w:rsidR="002B3A33" w:rsidRPr="009374DE" w:rsidRDefault="002B3A33" w:rsidP="002B3A33">
            <w:pPr>
              <w:pStyle w:val="ListParagraph"/>
              <w:numPr>
                <w:ilvl w:val="0"/>
                <w:numId w:val="15"/>
              </w:numPr>
              <w:jc w:val="both"/>
              <w:rPr>
                <w:rFonts w:cs="Arial"/>
              </w:rPr>
            </w:pPr>
            <w:r>
              <w:rPr>
                <w:rFonts w:cs="Arial"/>
                <w:sz w:val="22"/>
                <w:szCs w:val="22"/>
              </w:rPr>
              <w:t>The effect of the proposed development on the likely future use or redevelopment of the land,</w:t>
            </w:r>
          </w:p>
          <w:p w14:paraId="4DFBF94A" w14:textId="77777777" w:rsidR="002B3A33" w:rsidRPr="009374DE" w:rsidRDefault="002B3A33" w:rsidP="002B3A33">
            <w:pPr>
              <w:pStyle w:val="ListParagraph"/>
              <w:numPr>
                <w:ilvl w:val="0"/>
                <w:numId w:val="15"/>
              </w:numPr>
              <w:jc w:val="both"/>
              <w:rPr>
                <w:rFonts w:cs="Arial"/>
              </w:rPr>
            </w:pPr>
            <w:r>
              <w:rPr>
                <w:rFonts w:cs="Arial"/>
                <w:sz w:val="22"/>
                <w:szCs w:val="22"/>
              </w:rPr>
              <w:t>The quality of the fill or the soil to be excavated, or both,</w:t>
            </w:r>
          </w:p>
          <w:p w14:paraId="56976918" w14:textId="77777777" w:rsidR="002B3A33" w:rsidRPr="009374DE" w:rsidRDefault="002B3A33" w:rsidP="002B3A33">
            <w:pPr>
              <w:pStyle w:val="ListParagraph"/>
              <w:numPr>
                <w:ilvl w:val="0"/>
                <w:numId w:val="15"/>
              </w:numPr>
              <w:jc w:val="both"/>
              <w:rPr>
                <w:rFonts w:cs="Arial"/>
              </w:rPr>
            </w:pPr>
            <w:r>
              <w:rPr>
                <w:rFonts w:cs="Arial"/>
                <w:sz w:val="22"/>
                <w:szCs w:val="22"/>
              </w:rPr>
              <w:t>The effect of the proposed development on the existing and likely amenity of adjoining properties,</w:t>
            </w:r>
          </w:p>
          <w:p w14:paraId="09A79610" w14:textId="0CF39FF0" w:rsidR="002B3A33" w:rsidRPr="009374DE" w:rsidRDefault="002B3A33" w:rsidP="002B3A33">
            <w:pPr>
              <w:pStyle w:val="ListParagraph"/>
              <w:numPr>
                <w:ilvl w:val="0"/>
                <w:numId w:val="15"/>
              </w:numPr>
              <w:jc w:val="both"/>
              <w:rPr>
                <w:rFonts w:cs="Arial"/>
              </w:rPr>
            </w:pPr>
            <w:r>
              <w:rPr>
                <w:rFonts w:cs="Arial"/>
                <w:sz w:val="22"/>
                <w:szCs w:val="22"/>
              </w:rPr>
              <w:t>The source of any fill material and the destination of any excavated material,</w:t>
            </w:r>
          </w:p>
          <w:p w14:paraId="7D349D34" w14:textId="794B7826" w:rsidR="002B3A33" w:rsidRPr="002B3A33" w:rsidRDefault="002B3A33" w:rsidP="002B3A33">
            <w:pPr>
              <w:pStyle w:val="ListParagraph"/>
              <w:numPr>
                <w:ilvl w:val="0"/>
                <w:numId w:val="15"/>
              </w:numPr>
              <w:jc w:val="both"/>
              <w:rPr>
                <w:rFonts w:cs="Arial"/>
              </w:rPr>
            </w:pPr>
            <w:r>
              <w:rPr>
                <w:rFonts w:cs="Arial"/>
                <w:sz w:val="22"/>
                <w:szCs w:val="22"/>
              </w:rPr>
              <w:t>The likelihood of disturbing relics,</w:t>
            </w:r>
          </w:p>
          <w:p w14:paraId="71E4FD4C" w14:textId="667FD956" w:rsidR="002B3A33" w:rsidRPr="002B3A33" w:rsidRDefault="002B3A33" w:rsidP="002B3A33">
            <w:pPr>
              <w:pStyle w:val="ListParagraph"/>
              <w:numPr>
                <w:ilvl w:val="0"/>
                <w:numId w:val="15"/>
              </w:numPr>
              <w:jc w:val="both"/>
              <w:rPr>
                <w:rFonts w:cs="Arial"/>
                <w:sz w:val="22"/>
                <w:szCs w:val="22"/>
              </w:rPr>
            </w:pPr>
            <w:r w:rsidRPr="002B3A33">
              <w:rPr>
                <w:rFonts w:cs="Arial"/>
                <w:sz w:val="22"/>
                <w:szCs w:val="22"/>
              </w:rPr>
              <w:t>The proximity to and potential for adverse impacts on any watercourse, drinking water catchment or environmental sensitive area.</w:t>
            </w:r>
          </w:p>
        </w:tc>
        <w:tc>
          <w:tcPr>
            <w:tcW w:w="5245" w:type="dxa"/>
          </w:tcPr>
          <w:p w14:paraId="78D64996" w14:textId="5BC14796" w:rsidR="002B3A33" w:rsidRPr="005F7639" w:rsidRDefault="005F7639" w:rsidP="002B3A33">
            <w:pPr>
              <w:jc w:val="both"/>
              <w:rPr>
                <w:rFonts w:ascii="Arial" w:hAnsi="Arial" w:cs="Arial"/>
              </w:rPr>
            </w:pPr>
            <w:r w:rsidRPr="005F7639">
              <w:rPr>
                <w:rFonts w:ascii="Arial" w:hAnsi="Arial" w:cs="Arial"/>
                <w:sz w:val="22"/>
                <w:szCs w:val="22"/>
              </w:rPr>
              <w:lastRenderedPageBreak/>
              <w:t xml:space="preserve">The matters listed by this Clause have been considered. Subject to the recommended conditions, the proposed earthworks are </w:t>
            </w:r>
            <w:r w:rsidR="005048F5">
              <w:rPr>
                <w:rFonts w:ascii="Arial" w:hAnsi="Arial" w:cs="Arial"/>
                <w:sz w:val="22"/>
                <w:szCs w:val="22"/>
              </w:rPr>
              <w:t xml:space="preserve">considered to be </w:t>
            </w:r>
            <w:r w:rsidRPr="005F7639">
              <w:rPr>
                <w:rFonts w:ascii="Arial" w:hAnsi="Arial" w:cs="Arial"/>
                <w:sz w:val="22"/>
                <w:szCs w:val="22"/>
              </w:rPr>
              <w:t>acceptable.</w:t>
            </w:r>
          </w:p>
        </w:tc>
        <w:tc>
          <w:tcPr>
            <w:tcW w:w="1701" w:type="dxa"/>
          </w:tcPr>
          <w:p w14:paraId="4FD1FECB" w14:textId="3F628E0A" w:rsidR="002B3A33" w:rsidRDefault="005F7639" w:rsidP="005D2FB7">
            <w:pPr>
              <w:jc w:val="both"/>
              <w:rPr>
                <w:rFonts w:ascii="Arial" w:hAnsi="Arial" w:cs="Arial"/>
              </w:rPr>
            </w:pPr>
            <w:r>
              <w:rPr>
                <w:rFonts w:ascii="Arial" w:hAnsi="Arial" w:cs="Arial"/>
              </w:rPr>
              <w:t>Yes</w:t>
            </w:r>
          </w:p>
        </w:tc>
      </w:tr>
      <w:tr w:rsidR="0031644D" w:rsidRPr="00E101D4" w14:paraId="79D2646A" w14:textId="77777777" w:rsidTr="00D864CB">
        <w:trPr>
          <w:trHeight w:val="558"/>
        </w:trPr>
        <w:tc>
          <w:tcPr>
            <w:tcW w:w="1809" w:type="dxa"/>
          </w:tcPr>
          <w:p w14:paraId="657C2A82" w14:textId="77777777" w:rsidR="0031644D" w:rsidRPr="00D864CB" w:rsidRDefault="0031644D" w:rsidP="005048F5">
            <w:pPr>
              <w:jc w:val="both"/>
              <w:rPr>
                <w:rFonts w:ascii="Arial" w:hAnsi="Arial" w:cs="Arial"/>
                <w:b/>
                <w:sz w:val="22"/>
                <w:szCs w:val="22"/>
              </w:rPr>
            </w:pPr>
            <w:r w:rsidRPr="00D864CB">
              <w:rPr>
                <w:rFonts w:ascii="Arial" w:hAnsi="Arial" w:cs="Arial"/>
                <w:b/>
                <w:sz w:val="22"/>
                <w:szCs w:val="22"/>
              </w:rPr>
              <w:t xml:space="preserve">Clause 7.8 </w:t>
            </w:r>
          </w:p>
          <w:p w14:paraId="75F7BDAD" w14:textId="4DAC0445" w:rsidR="0031644D" w:rsidRPr="00550A69" w:rsidRDefault="0031644D" w:rsidP="005048F5">
            <w:pPr>
              <w:jc w:val="both"/>
              <w:rPr>
                <w:rFonts w:ascii="Arial" w:hAnsi="Arial" w:cs="Arial"/>
                <w:bCs/>
              </w:rPr>
            </w:pPr>
            <w:r w:rsidRPr="00D864CB">
              <w:rPr>
                <w:rFonts w:ascii="Arial" w:hAnsi="Arial" w:cs="Arial"/>
                <w:b/>
                <w:sz w:val="22"/>
                <w:szCs w:val="22"/>
              </w:rPr>
              <w:t>Residential Development at Spring Farm</w:t>
            </w:r>
          </w:p>
        </w:tc>
        <w:tc>
          <w:tcPr>
            <w:tcW w:w="5387" w:type="dxa"/>
          </w:tcPr>
          <w:p w14:paraId="4E4465D6" w14:textId="77777777" w:rsidR="0031644D" w:rsidRPr="00A466FC" w:rsidRDefault="0031644D" w:rsidP="005048F5">
            <w:pPr>
              <w:pStyle w:val="ListParagraph"/>
              <w:numPr>
                <w:ilvl w:val="0"/>
                <w:numId w:val="10"/>
              </w:numPr>
              <w:ind w:left="454" w:hanging="425"/>
              <w:jc w:val="both"/>
              <w:rPr>
                <w:rFonts w:cs="Arial"/>
                <w:bCs/>
              </w:rPr>
            </w:pPr>
            <w:r>
              <w:rPr>
                <w:rFonts w:cs="Arial"/>
                <w:bCs/>
                <w:sz w:val="22"/>
                <w:szCs w:val="22"/>
              </w:rPr>
              <w:t>Before granting consent for the subdivision of the urban release area shown as ‘Spring Farm’ on the Urban Release Area Map, the consent authority must consider whether:</w:t>
            </w:r>
          </w:p>
          <w:p w14:paraId="3103B2E9" w14:textId="77777777" w:rsidR="0031644D" w:rsidRDefault="0031644D" w:rsidP="005048F5">
            <w:pPr>
              <w:pStyle w:val="ListParagraph"/>
              <w:ind w:left="454"/>
              <w:jc w:val="both"/>
              <w:rPr>
                <w:rFonts w:cs="Arial"/>
                <w:bCs/>
                <w:sz w:val="22"/>
                <w:szCs w:val="22"/>
              </w:rPr>
            </w:pPr>
          </w:p>
          <w:p w14:paraId="75F36B42" w14:textId="33B1D881" w:rsidR="0031644D" w:rsidRPr="00D864CB" w:rsidRDefault="0031644D" w:rsidP="005048F5">
            <w:pPr>
              <w:pStyle w:val="ListParagraph"/>
              <w:numPr>
                <w:ilvl w:val="0"/>
                <w:numId w:val="16"/>
              </w:numPr>
              <w:ind w:left="811" w:hanging="357"/>
              <w:jc w:val="both"/>
              <w:rPr>
                <w:rFonts w:cs="Arial"/>
                <w:bCs/>
              </w:rPr>
            </w:pPr>
            <w:r>
              <w:rPr>
                <w:rFonts w:cs="Arial"/>
                <w:bCs/>
                <w:sz w:val="22"/>
                <w:szCs w:val="22"/>
              </w:rPr>
              <w:t>Remnant vegetation and bush corridors will be protected, enhanced and managed, and</w:t>
            </w:r>
          </w:p>
          <w:p w14:paraId="1666C248" w14:textId="45B0711E" w:rsidR="0031644D" w:rsidRPr="00D864CB" w:rsidRDefault="0031644D" w:rsidP="005048F5">
            <w:pPr>
              <w:pStyle w:val="ListParagraph"/>
              <w:numPr>
                <w:ilvl w:val="0"/>
                <w:numId w:val="16"/>
              </w:numPr>
              <w:jc w:val="both"/>
              <w:rPr>
                <w:rFonts w:cs="Arial"/>
                <w:bCs/>
              </w:rPr>
            </w:pPr>
            <w:r>
              <w:rPr>
                <w:rFonts w:cs="Arial"/>
                <w:bCs/>
                <w:sz w:val="22"/>
                <w:szCs w:val="22"/>
              </w:rPr>
              <w:t>Adverse odour impacts from the Macarthur Resource Recovery Park will be mitigated, and</w:t>
            </w:r>
          </w:p>
          <w:p w14:paraId="3C347F59" w14:textId="7F380F02" w:rsidR="0031644D" w:rsidRPr="0031644D" w:rsidRDefault="0031644D" w:rsidP="005048F5">
            <w:pPr>
              <w:pStyle w:val="ListParagraph"/>
              <w:numPr>
                <w:ilvl w:val="0"/>
                <w:numId w:val="16"/>
              </w:numPr>
              <w:jc w:val="both"/>
              <w:rPr>
                <w:rFonts w:cs="Arial"/>
                <w:bCs/>
                <w:sz w:val="22"/>
                <w:szCs w:val="22"/>
              </w:rPr>
            </w:pPr>
            <w:r w:rsidRPr="0031644D">
              <w:rPr>
                <w:rFonts w:cs="Arial"/>
                <w:bCs/>
                <w:sz w:val="22"/>
                <w:szCs w:val="22"/>
              </w:rPr>
              <w:t>Adverse noise and dust impacts from the sand mining operations will be mitigated.</w:t>
            </w:r>
          </w:p>
        </w:tc>
        <w:tc>
          <w:tcPr>
            <w:tcW w:w="5245" w:type="dxa"/>
          </w:tcPr>
          <w:p w14:paraId="210EB96F" w14:textId="77777777" w:rsidR="0031644D" w:rsidRPr="005F7639" w:rsidRDefault="0031644D" w:rsidP="005048F5">
            <w:pPr>
              <w:pStyle w:val="ListParagraph"/>
              <w:numPr>
                <w:ilvl w:val="0"/>
                <w:numId w:val="17"/>
              </w:numPr>
              <w:ind w:left="455" w:hanging="455"/>
              <w:jc w:val="both"/>
              <w:rPr>
                <w:rFonts w:cs="Arial"/>
                <w:bCs/>
                <w:sz w:val="22"/>
                <w:szCs w:val="22"/>
              </w:rPr>
            </w:pPr>
            <w:bookmarkStart w:id="0" w:name="_GoBack"/>
            <w:bookmarkEnd w:id="0"/>
            <w:r w:rsidRPr="005F7639">
              <w:rPr>
                <w:rFonts w:cs="Arial"/>
                <w:bCs/>
                <w:sz w:val="22"/>
                <w:szCs w:val="22"/>
              </w:rPr>
              <w:t>The proposed development proposes to dedicate land zoned E2 – Environmental Conservation to Council. This will allow for the adjoining bushland to be managed and protected.</w:t>
            </w:r>
          </w:p>
          <w:p w14:paraId="4CEC98BC" w14:textId="721DB02F" w:rsidR="0031644D" w:rsidRPr="0031644D" w:rsidRDefault="0031644D" w:rsidP="005048F5">
            <w:pPr>
              <w:pStyle w:val="ListParagraph"/>
              <w:numPr>
                <w:ilvl w:val="0"/>
                <w:numId w:val="17"/>
              </w:numPr>
              <w:ind w:left="456" w:hanging="456"/>
              <w:jc w:val="both"/>
              <w:rPr>
                <w:rFonts w:cs="Arial"/>
                <w:sz w:val="22"/>
                <w:szCs w:val="22"/>
              </w:rPr>
            </w:pPr>
            <w:r w:rsidRPr="0031644D">
              <w:rPr>
                <w:rFonts w:cs="Arial"/>
                <w:sz w:val="22"/>
                <w:szCs w:val="22"/>
              </w:rPr>
              <w:t>As per Figure C18 within Camden DCP 2011, the odour buffer does not extend into this part of Spring Farm.</w:t>
            </w:r>
          </w:p>
          <w:p w14:paraId="45064995" w14:textId="2BAC5417" w:rsidR="0031644D" w:rsidRPr="0031644D" w:rsidRDefault="0031644D" w:rsidP="005048F5">
            <w:pPr>
              <w:pStyle w:val="ListParagraph"/>
              <w:numPr>
                <w:ilvl w:val="0"/>
                <w:numId w:val="17"/>
              </w:numPr>
              <w:ind w:left="456" w:hanging="456"/>
              <w:jc w:val="both"/>
              <w:rPr>
                <w:rFonts w:cs="Arial"/>
              </w:rPr>
            </w:pPr>
            <w:r w:rsidRPr="0031644D">
              <w:rPr>
                <w:rFonts w:cs="Arial"/>
                <w:sz w:val="22"/>
                <w:szCs w:val="22"/>
              </w:rPr>
              <w:t>The site is a significant distance away from mining operations. Accordingly, it is not expected that significant noise and dust impacts will arise and impact this section of the site.</w:t>
            </w:r>
          </w:p>
        </w:tc>
        <w:tc>
          <w:tcPr>
            <w:tcW w:w="1701" w:type="dxa"/>
          </w:tcPr>
          <w:p w14:paraId="1D41A136" w14:textId="7B39E26D" w:rsidR="0031644D" w:rsidRPr="005048F5" w:rsidRDefault="005048F5" w:rsidP="005048F5">
            <w:pPr>
              <w:jc w:val="both"/>
              <w:rPr>
                <w:rFonts w:ascii="Arial" w:hAnsi="Arial" w:cs="Arial"/>
                <w:sz w:val="22"/>
                <w:szCs w:val="22"/>
              </w:rPr>
            </w:pPr>
            <w:r w:rsidRPr="005048F5">
              <w:rPr>
                <w:rFonts w:ascii="Arial" w:hAnsi="Arial" w:cs="Arial"/>
                <w:sz w:val="22"/>
                <w:szCs w:val="22"/>
              </w:rPr>
              <w:t>Yes</w:t>
            </w:r>
          </w:p>
        </w:tc>
      </w:tr>
    </w:tbl>
    <w:p w14:paraId="037D87B2" w14:textId="77777777" w:rsidR="00550A69" w:rsidRPr="00550A69" w:rsidRDefault="00550A69" w:rsidP="00550A69">
      <w:pPr>
        <w:spacing w:after="0" w:line="240" w:lineRule="auto"/>
        <w:rPr>
          <w:rFonts w:ascii="Arial" w:hAnsi="Arial" w:cs="Arial"/>
          <w:sz w:val="28"/>
          <w:szCs w:val="28"/>
        </w:rPr>
      </w:pPr>
    </w:p>
    <w:sectPr w:rsidR="00550A69" w:rsidRPr="00550A69" w:rsidSect="00550A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761"/>
    <w:multiLevelType w:val="hybridMultilevel"/>
    <w:tmpl w:val="2A0C978A"/>
    <w:lvl w:ilvl="0" w:tplc="1C7066C6">
      <w:start w:val="1"/>
      <w:numFmt w:val="decimal"/>
      <w:lvlText w:val="(%1)"/>
      <w:lvlJc w:val="left"/>
      <w:pPr>
        <w:ind w:left="72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9062A0"/>
    <w:multiLevelType w:val="hybridMultilevel"/>
    <w:tmpl w:val="A09ABBDE"/>
    <w:lvl w:ilvl="0" w:tplc="55FC06CC">
      <w:start w:val="3"/>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CD4F21"/>
    <w:multiLevelType w:val="hybridMultilevel"/>
    <w:tmpl w:val="A7D8A8EE"/>
    <w:lvl w:ilvl="0" w:tplc="8932EAB4">
      <w:start w:val="1"/>
      <w:numFmt w:val="lowerLetter"/>
      <w:lvlText w:val="(%1)"/>
      <w:lvlJc w:val="left"/>
      <w:pPr>
        <w:ind w:left="814" w:hanging="360"/>
      </w:pPr>
      <w:rPr>
        <w:rFonts w:ascii="Arial" w:hAnsi="Arial"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 w15:restartNumberingAfterBreak="0">
    <w:nsid w:val="1E8509FC"/>
    <w:multiLevelType w:val="hybridMultilevel"/>
    <w:tmpl w:val="97BCB000"/>
    <w:lvl w:ilvl="0" w:tplc="725A6A0E">
      <w:start w:val="3"/>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D06854"/>
    <w:multiLevelType w:val="hybridMultilevel"/>
    <w:tmpl w:val="266EBDF8"/>
    <w:lvl w:ilvl="0" w:tplc="AC0E1182">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1C5DE6"/>
    <w:multiLevelType w:val="hybridMultilevel"/>
    <w:tmpl w:val="00F0569C"/>
    <w:lvl w:ilvl="0" w:tplc="7BA269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7C0DF4"/>
    <w:multiLevelType w:val="hybridMultilevel"/>
    <w:tmpl w:val="D8584FD4"/>
    <w:lvl w:ilvl="0" w:tplc="CEDA0698">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003C8D"/>
    <w:multiLevelType w:val="hybridMultilevel"/>
    <w:tmpl w:val="D9BEF86A"/>
    <w:lvl w:ilvl="0" w:tplc="36560DC6">
      <w:start w:val="1"/>
      <w:numFmt w:val="lowerLetter"/>
      <w:lvlText w:val="(%1)"/>
      <w:lvlJc w:val="left"/>
      <w:pPr>
        <w:ind w:left="814" w:hanging="360"/>
      </w:pPr>
      <w:rPr>
        <w:rFonts w:hint="default"/>
        <w:sz w:val="22"/>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8" w15:restartNumberingAfterBreak="0">
    <w:nsid w:val="40566638"/>
    <w:multiLevelType w:val="hybridMultilevel"/>
    <w:tmpl w:val="80BE86D2"/>
    <w:lvl w:ilvl="0" w:tplc="C7CA1512">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087BBA"/>
    <w:multiLevelType w:val="hybridMultilevel"/>
    <w:tmpl w:val="989619E6"/>
    <w:lvl w:ilvl="0" w:tplc="5FFE26B0">
      <w:start w:val="1"/>
      <w:numFmt w:val="lowerLetter"/>
      <w:lvlText w:val="(%1)"/>
      <w:lvlJc w:val="left"/>
      <w:pPr>
        <w:ind w:left="814" w:hanging="360"/>
      </w:pPr>
      <w:rPr>
        <w:rFonts w:hint="default"/>
        <w:sz w:val="22"/>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0" w15:restartNumberingAfterBreak="0">
    <w:nsid w:val="54F341F5"/>
    <w:multiLevelType w:val="hybridMultilevel"/>
    <w:tmpl w:val="17903416"/>
    <w:lvl w:ilvl="0" w:tplc="F97A8A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D10A01"/>
    <w:multiLevelType w:val="hybridMultilevel"/>
    <w:tmpl w:val="B1DE360E"/>
    <w:lvl w:ilvl="0" w:tplc="C3A04C40">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8C2231"/>
    <w:multiLevelType w:val="hybridMultilevel"/>
    <w:tmpl w:val="033A3E0C"/>
    <w:lvl w:ilvl="0" w:tplc="170C964A">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3" w15:restartNumberingAfterBreak="0">
    <w:nsid w:val="61717B16"/>
    <w:multiLevelType w:val="hybridMultilevel"/>
    <w:tmpl w:val="8EA6ED9A"/>
    <w:lvl w:ilvl="0" w:tplc="575CE690">
      <w:start w:val="1"/>
      <w:numFmt w:val="lowerLetter"/>
      <w:lvlText w:val="(%1)"/>
      <w:lvlJc w:val="left"/>
      <w:pPr>
        <w:ind w:left="814"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3C4B5D"/>
    <w:multiLevelType w:val="hybridMultilevel"/>
    <w:tmpl w:val="F0C20408"/>
    <w:lvl w:ilvl="0" w:tplc="F44C999E">
      <w:start w:val="1"/>
      <w:numFmt w:val="upp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6F78AE"/>
    <w:multiLevelType w:val="hybridMultilevel"/>
    <w:tmpl w:val="1520E838"/>
    <w:lvl w:ilvl="0" w:tplc="65EA3F3A">
      <w:start w:val="1"/>
      <w:numFmt w:val="lowerLetter"/>
      <w:lvlText w:val="(%1)"/>
      <w:lvlJc w:val="left"/>
      <w:pPr>
        <w:ind w:left="814" w:hanging="360"/>
      </w:pPr>
      <w:rPr>
        <w:rFonts w:hint="default"/>
        <w:sz w:val="22"/>
        <w:szCs w:val="22"/>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6" w15:restartNumberingAfterBreak="0">
    <w:nsid w:val="6EF746E9"/>
    <w:multiLevelType w:val="hybridMultilevel"/>
    <w:tmpl w:val="CCBCC5F6"/>
    <w:lvl w:ilvl="0" w:tplc="D5B4FD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31247B"/>
    <w:multiLevelType w:val="hybridMultilevel"/>
    <w:tmpl w:val="C48A91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B93DD7"/>
    <w:multiLevelType w:val="hybridMultilevel"/>
    <w:tmpl w:val="31EED64A"/>
    <w:lvl w:ilvl="0" w:tplc="94948EAE">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num w:numId="1">
    <w:abstractNumId w:val="16"/>
  </w:num>
  <w:num w:numId="2">
    <w:abstractNumId w:val="12"/>
  </w:num>
  <w:num w:numId="3">
    <w:abstractNumId w:val="5"/>
  </w:num>
  <w:num w:numId="4">
    <w:abstractNumId w:val="18"/>
  </w:num>
  <w:num w:numId="5">
    <w:abstractNumId w:val="0"/>
  </w:num>
  <w:num w:numId="6">
    <w:abstractNumId w:val="1"/>
  </w:num>
  <w:num w:numId="7">
    <w:abstractNumId w:val="2"/>
  </w:num>
  <w:num w:numId="8">
    <w:abstractNumId w:val="15"/>
  </w:num>
  <w:num w:numId="9">
    <w:abstractNumId w:val="8"/>
  </w:num>
  <w:num w:numId="10">
    <w:abstractNumId w:val="6"/>
  </w:num>
  <w:num w:numId="11">
    <w:abstractNumId w:val="9"/>
  </w:num>
  <w:num w:numId="12">
    <w:abstractNumId w:val="14"/>
  </w:num>
  <w:num w:numId="13">
    <w:abstractNumId w:val="17"/>
  </w:num>
  <w:num w:numId="14">
    <w:abstractNumId w:val="3"/>
  </w:num>
  <w:num w:numId="15">
    <w:abstractNumId w:val="7"/>
  </w:num>
  <w:num w:numId="16">
    <w:abstractNumId w:val="13"/>
  </w:num>
  <w:num w:numId="17">
    <w:abstractNumId w:val="10"/>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69"/>
    <w:rsid w:val="000433A4"/>
    <w:rsid w:val="00084EFC"/>
    <w:rsid w:val="00116822"/>
    <w:rsid w:val="002720A0"/>
    <w:rsid w:val="002B3A33"/>
    <w:rsid w:val="0031644D"/>
    <w:rsid w:val="0035745A"/>
    <w:rsid w:val="003D5C70"/>
    <w:rsid w:val="00443F3D"/>
    <w:rsid w:val="00480F8A"/>
    <w:rsid w:val="004E2C64"/>
    <w:rsid w:val="005048F5"/>
    <w:rsid w:val="00550A69"/>
    <w:rsid w:val="005C291C"/>
    <w:rsid w:val="005F7639"/>
    <w:rsid w:val="006501D7"/>
    <w:rsid w:val="006E519B"/>
    <w:rsid w:val="00737614"/>
    <w:rsid w:val="007531B0"/>
    <w:rsid w:val="00833EF7"/>
    <w:rsid w:val="00863237"/>
    <w:rsid w:val="009374DE"/>
    <w:rsid w:val="00A0709F"/>
    <w:rsid w:val="00A466FC"/>
    <w:rsid w:val="00A853FB"/>
    <w:rsid w:val="00B40F82"/>
    <w:rsid w:val="00B51A16"/>
    <w:rsid w:val="00B93331"/>
    <w:rsid w:val="00BF3134"/>
    <w:rsid w:val="00C801CA"/>
    <w:rsid w:val="00C962A1"/>
    <w:rsid w:val="00D05106"/>
    <w:rsid w:val="00D337E2"/>
    <w:rsid w:val="00D34D1E"/>
    <w:rsid w:val="00D60DB1"/>
    <w:rsid w:val="00D864CB"/>
    <w:rsid w:val="00E87098"/>
    <w:rsid w:val="00EA5B51"/>
    <w:rsid w:val="00F20E6F"/>
    <w:rsid w:val="00F2478E"/>
    <w:rsid w:val="00F679AB"/>
    <w:rsid w:val="00F86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BFC3"/>
  <w15:chartTrackingRefBased/>
  <w15:docId w15:val="{3039CA5A-B77B-4846-9C0F-E9E2B4A0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A69"/>
    <w:pPr>
      <w:spacing w:after="0" w:line="240" w:lineRule="auto"/>
      <w:ind w:left="720"/>
      <w:contextualSpacing/>
    </w:pPr>
    <w:rPr>
      <w:rFonts w:ascii="Arial" w:eastAsia="Times New Roman" w:hAnsi="Arial" w:cs="Times New Roman"/>
      <w:sz w:val="24"/>
      <w:szCs w:val="24"/>
      <w:lang w:val="en-US"/>
    </w:rPr>
  </w:style>
  <w:style w:type="table" w:styleId="TableGrid">
    <w:name w:val="Table Grid"/>
    <w:basedOn w:val="TableNormal"/>
    <w:rsid w:val="00550A6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Jamie Erken</cp:lastModifiedBy>
  <cp:revision>24</cp:revision>
  <dcterms:created xsi:type="dcterms:W3CDTF">2019-10-22T20:54:00Z</dcterms:created>
  <dcterms:modified xsi:type="dcterms:W3CDTF">2020-09-29T23:10:00Z</dcterms:modified>
</cp:coreProperties>
</file>